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3855E0D5" w:rsidR="00173870" w:rsidRPr="00A45E2E" w:rsidRDefault="0043155E" w:rsidP="00186477">
            <w:pPr>
              <w:pStyle w:val="makalebal2"/>
              <w:rPr>
                <w:rFonts w:ascii="Times New Roman" w:hAnsi="Times New Roman" w:cs="Times New Roman"/>
                <w:sz w:val="24"/>
                <w:szCs w:val="24"/>
              </w:rPr>
            </w:pPr>
            <w:r w:rsidRPr="0043155E">
              <w:rPr>
                <w:rFonts w:ascii="Times New Roman" w:hAnsi="Times New Roman" w:cs="Times New Roman"/>
                <w:sz w:val="24"/>
                <w:szCs w:val="24"/>
              </w:rPr>
              <w:t>UNESCO Koruması Altında Bir Hafıza Ağı: Safranbolu’da İnanç Motifleri ve Miras Sürekliliği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313213DB" w14:textId="42CF7B4E" w:rsidR="00186477" w:rsidRPr="009F553C" w:rsidRDefault="0043155E" w:rsidP="00186477">
            <w:pPr>
              <w:ind w:firstLine="0"/>
              <w:jc w:val="center"/>
              <w:rPr>
                <w:rFonts w:ascii="Times New Roman" w:hAnsi="Times New Roman" w:cs="Times New Roman"/>
                <w:i/>
              </w:rPr>
            </w:pPr>
            <w:r>
              <w:rPr>
                <w:rFonts w:ascii="Times New Roman" w:hAnsi="Times New Roman" w:cs="Times New Roman"/>
                <w:b/>
                <w:sz w:val="24"/>
              </w:rPr>
              <w:t>Berrin Sarıtunç</w:t>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34D2EC35" w14:textId="77777777" w:rsidR="0043155E" w:rsidRPr="0043155E" w:rsidRDefault="0043155E" w:rsidP="0043155E">
            <w:pPr>
              <w:pStyle w:val="AralkYok"/>
              <w:rPr>
                <w:rFonts w:ascii="Times New Roman" w:hAnsi="Times New Roman" w:cs="Times New Roman"/>
                <w:sz w:val="24"/>
                <w:szCs w:val="24"/>
              </w:rPr>
            </w:pPr>
            <w:r w:rsidRPr="0043155E">
              <w:rPr>
                <w:rFonts w:ascii="Times New Roman" w:hAnsi="Times New Roman" w:cs="Times New Roman"/>
                <w:sz w:val="24"/>
                <w:szCs w:val="24"/>
              </w:rPr>
              <w:t>Bu çalışma, motif kavramını yalnızca sözlü anlatı türleri içinde tekrarlanan bir yapı birimi olarak değil; inanç sistemleri, ritüel pratikler ve mimari sembolizm içinde işlevsel biçimde varlığını sürdüren kültürel kodlar olarak ele almaktadır. Motifler, toplumsal düzeni yeniden üreten, kutsal–profân sınırını belirleyen, geçiş dönemlerini anlamlandıran ve kolektif belleği görünür kılan sembolik yapılardır. Çalışma, bu işlevsel boyutu Safranbolu örneği üzerinden değerlendirmeyi amaçlamaktadır.</w:t>
            </w:r>
          </w:p>
          <w:p w14:paraId="1ABC8825" w14:textId="77777777" w:rsidR="0043155E" w:rsidRPr="0043155E" w:rsidRDefault="0043155E" w:rsidP="0043155E">
            <w:pPr>
              <w:pStyle w:val="AralkYok"/>
              <w:rPr>
                <w:rFonts w:ascii="Times New Roman" w:hAnsi="Times New Roman" w:cs="Times New Roman"/>
                <w:sz w:val="24"/>
                <w:szCs w:val="24"/>
              </w:rPr>
            </w:pPr>
            <w:r w:rsidRPr="0043155E">
              <w:rPr>
                <w:rFonts w:ascii="Times New Roman" w:hAnsi="Times New Roman" w:cs="Times New Roman"/>
                <w:sz w:val="24"/>
                <w:szCs w:val="24"/>
              </w:rPr>
              <w:t>Kuramsal çerçeve, kültürel bellek kuramı (Halbwachs), geçiş ritüelleri (Van Gennep), liminalite ve toplumsal yeniden üretim (Turner) ile işlevsel halkbilimi yaklaşımlarına dayandırılmıştır. Motifler; koruma, arınma, bereket, sınır çizme, atalarla bağ kurma ve kutsalı muhafaza etme işlevleri doğrultusunda tematik olarak sınıflandırılmıştır.</w:t>
            </w:r>
          </w:p>
          <w:p w14:paraId="4DBFB394" w14:textId="25E105E8" w:rsidR="0043155E" w:rsidRDefault="0043155E" w:rsidP="0043155E">
            <w:pPr>
              <w:pStyle w:val="AralkYok"/>
              <w:rPr>
                <w:rFonts w:ascii="Times New Roman" w:hAnsi="Times New Roman" w:cs="Times New Roman"/>
                <w:sz w:val="24"/>
                <w:szCs w:val="24"/>
              </w:rPr>
            </w:pPr>
            <w:r w:rsidRPr="0043155E">
              <w:rPr>
                <w:rFonts w:ascii="Times New Roman" w:hAnsi="Times New Roman" w:cs="Times New Roman"/>
                <w:sz w:val="24"/>
                <w:szCs w:val="24"/>
              </w:rPr>
              <w:t>Araştırma, çok katmanlı bir yöntemle yürütülmüştür. Uzun yıllara yayılan katılımcı gözlem deneyimi, önceki saha araştırmalarından elde edilen veriler, yayımlanmış kitap ve makaleler, yerel arşiv belgeleri ve yazılı folklor kaynakları yeniden analiz edilmiştir. Buna ek olarak Safranbolu ev mimarisinde ve kamusal alanlarda yer alan yazı ve semboller görsel-kültürel çözümleme yöntemiyle incelenmiş; inanç ve ritüel pratikleri motif analizi çerçevesinde değerlendirilmiştir. Böylece hem sözlü hem maddi kültür unsurları birlikte ele alınarak bütüncül bir analiz gerçekleştirilmiştir.</w:t>
            </w:r>
          </w:p>
          <w:p w14:paraId="42AD12F6" w14:textId="77777777" w:rsidR="0043155E" w:rsidRPr="0043155E" w:rsidRDefault="0043155E" w:rsidP="0043155E">
            <w:pPr>
              <w:pStyle w:val="AralkYok"/>
              <w:rPr>
                <w:rFonts w:ascii="Times New Roman" w:hAnsi="Times New Roman" w:cs="Times New Roman"/>
                <w:sz w:val="24"/>
                <w:szCs w:val="24"/>
              </w:rPr>
            </w:pPr>
            <w:r w:rsidRPr="0043155E">
              <w:rPr>
                <w:rFonts w:ascii="Times New Roman" w:hAnsi="Times New Roman" w:cs="Times New Roman"/>
                <w:sz w:val="24"/>
                <w:szCs w:val="24"/>
              </w:rPr>
              <w:t>İnceleme kapsamında; evlerde görülen geyik boynuzu, mavi boncuk ve koruyucu yazılar; özellikle Safranbolu evlerinin cephelerinde ve çeşmelerinde yer alan “Ya Mâlikel Mülk, El Mülkü Lillah” (يا مالك الملكِ الملك لله) ve “Mülk Allah’ındır” ifadeleri mimari motifler olarak değerlendirilmiştir. Benzer biçimde helva ve ekmek dağıtımı, sarılık için sarı bez bağlama, eşik ve makas inanışları, lokumun ikram sembolizmi, bindallı kullanımı, yatır çevresinde suyu kirletmeme ve ağacı kesmeme yasakları, Hızır’ın uğrama ihtimali, 3–7–40–52. gün hayırları, baykuş ve kelebekle ilişkilendirilen ruh inanışları, doğum sırasında kilit ve düğümlerin açılması ile ocaklara sunulan saçılar motif çözümlemesi kapsamında ele alınmıştır.</w:t>
            </w:r>
          </w:p>
          <w:p w14:paraId="04BD4854" w14:textId="46C3C40B" w:rsidR="0043155E" w:rsidRDefault="0043155E" w:rsidP="0043155E">
            <w:pPr>
              <w:pStyle w:val="AralkYok"/>
              <w:rPr>
                <w:rFonts w:ascii="Times New Roman" w:hAnsi="Times New Roman" w:cs="Times New Roman"/>
                <w:sz w:val="24"/>
                <w:szCs w:val="24"/>
              </w:rPr>
            </w:pPr>
            <w:r w:rsidRPr="0043155E">
              <w:rPr>
                <w:rFonts w:ascii="Times New Roman" w:hAnsi="Times New Roman" w:cs="Times New Roman"/>
                <w:sz w:val="24"/>
                <w:szCs w:val="24"/>
              </w:rPr>
              <w:t xml:space="preserve">Bu motifler, Safranbolu’da Türk kültürel mirasının kadim sembolik kodları ile İslami inanç sisteminin mekânsal ve ritüel yansımalarının iç içe geçtiğini göstermektedir. Geyik </w:t>
            </w:r>
            <w:r w:rsidRPr="0043155E">
              <w:rPr>
                <w:rFonts w:ascii="Times New Roman" w:hAnsi="Times New Roman" w:cs="Times New Roman"/>
                <w:sz w:val="24"/>
                <w:szCs w:val="24"/>
              </w:rPr>
              <w:lastRenderedPageBreak/>
              <w:t>boynuzu ve saçılar gibi Orta Asya kökenli koruyucu ve atalara yönelik uygulamalar ile “El Mülkü Lillah” yazıları gibi tevhid merkezli İslami ifadeler aynı mimari yüzeyde ve aynı toplumsal hafıza alanında birlikte varlık göstermektedir. Bu durum, Safranbolu’nun tek katmanlı bir kültür alanı değil; tarihsel süreklilik içinde farklı inanç ve sembol katmanlarının üst üste binerek bütünleştiği çok katmanlı bir şehir kimliğini temsil ettiğini ortaya koymaktadır.</w:t>
            </w:r>
          </w:p>
          <w:p w14:paraId="7F8B8AB8" w14:textId="77777777" w:rsidR="0043155E" w:rsidRPr="0043155E" w:rsidRDefault="0043155E" w:rsidP="0043155E">
            <w:pPr>
              <w:pStyle w:val="AralkYok"/>
              <w:rPr>
                <w:rFonts w:ascii="Times New Roman" w:hAnsi="Times New Roman" w:cs="Times New Roman"/>
                <w:sz w:val="24"/>
                <w:szCs w:val="24"/>
              </w:rPr>
            </w:pPr>
            <w:r w:rsidRPr="0043155E">
              <w:rPr>
                <w:rFonts w:ascii="Times New Roman" w:hAnsi="Times New Roman" w:cs="Times New Roman"/>
                <w:sz w:val="24"/>
                <w:szCs w:val="24"/>
              </w:rPr>
              <w:t>Dolayısıyla Safranbolu’da tespit edilen bu motifler, yalnızca folklorik ayrıntılar ya da estetik süslemeler olarak değerlendirilemez. Aksine, geçmiş ile bugün arasında sembolik süreklilik kuran; inanç sistemini, toplumsal düzeni ve mekânsal kimliği yeniden üreten kültürel bellek göstergeleridir. Mimari yüzeylerdeki yazılar ve semboller, ritüel pratiklerdeki tekrar eden davranış kalıpları ve gündelik hayat içinde sürdürülen inanç uygulamaları birlikte ele alındığında, Safranbolu’da çok katmanlı bir kültürel hafıza ağının işlediği görülmektedir.</w:t>
            </w:r>
          </w:p>
          <w:p w14:paraId="2755C1C9" w14:textId="77777777" w:rsidR="0043155E" w:rsidRPr="0043155E" w:rsidRDefault="0043155E" w:rsidP="0043155E">
            <w:pPr>
              <w:pStyle w:val="AralkYok"/>
              <w:rPr>
                <w:rFonts w:ascii="Times New Roman" w:hAnsi="Times New Roman" w:cs="Times New Roman"/>
                <w:sz w:val="24"/>
                <w:szCs w:val="24"/>
              </w:rPr>
            </w:pPr>
            <w:r w:rsidRPr="0043155E">
              <w:rPr>
                <w:rFonts w:ascii="Times New Roman" w:hAnsi="Times New Roman" w:cs="Times New Roman"/>
                <w:sz w:val="24"/>
                <w:szCs w:val="24"/>
              </w:rPr>
              <w:t>Bu ağ, kutsal alanın korunması, toplumsal dayanışmanın sürdürülmesi ve atalarla kurulan sembolik ilişkinin devamlılığı açısından işlevsel bir rol üstlenmektedir. Motifler, mekânı yalnızca fiziksel bir yer olmaktan çıkararak anlamlandırılmış, korunmuş ve hafızayla örülmüş bir kültürel alana dönüştürmektedir.</w:t>
            </w:r>
          </w:p>
          <w:p w14:paraId="1FF8091F" w14:textId="77777777" w:rsidR="0043155E" w:rsidRPr="0043155E" w:rsidRDefault="0043155E" w:rsidP="0043155E">
            <w:pPr>
              <w:pStyle w:val="AralkYok"/>
              <w:rPr>
                <w:rFonts w:ascii="Times New Roman" w:hAnsi="Times New Roman" w:cs="Times New Roman"/>
                <w:sz w:val="24"/>
                <w:szCs w:val="24"/>
              </w:rPr>
            </w:pPr>
            <w:r w:rsidRPr="0043155E">
              <w:rPr>
                <w:rFonts w:ascii="Times New Roman" w:hAnsi="Times New Roman" w:cs="Times New Roman"/>
                <w:sz w:val="24"/>
                <w:szCs w:val="24"/>
              </w:rPr>
              <w:t>Safranbolu’nun UNESCO Dünya Miras Listesi’nde yer alması, bu motif ağının yalnızca mimari ve estetik değerle sınırlı olmadığını; aynı zamanda somut olmayan kültürel mirasın görünmez taşıyıcı katmanını oluşturduğunu göstermektedir. Koruma altındaki yapı dokusunun arka planında işleyen inanç, ritüel ve sembolik kodlar, mirasın yerel topluluk tarafından benimsenmesi ve sürdürülebilirliğinin sağlanması açısından temel bir belirleyici olarak karşımıza çıkmaktadır.</w:t>
            </w:r>
          </w:p>
          <w:p w14:paraId="45684149" w14:textId="551C0CAC" w:rsidR="00186477" w:rsidRPr="0043155E" w:rsidRDefault="0043155E" w:rsidP="0043155E">
            <w:pPr>
              <w:pStyle w:val="AralkYok"/>
              <w:rPr>
                <w:rFonts w:ascii="Times New Roman" w:hAnsi="Times New Roman" w:cs="Times New Roman"/>
                <w:sz w:val="24"/>
                <w:szCs w:val="24"/>
              </w:rPr>
            </w:pPr>
            <w:r w:rsidRPr="0043155E">
              <w:rPr>
                <w:rFonts w:ascii="Times New Roman" w:hAnsi="Times New Roman" w:cs="Times New Roman"/>
                <w:sz w:val="24"/>
                <w:szCs w:val="24"/>
              </w:rPr>
              <w:t>Sonuç olarak motifler, Safranbolu örneğinde kültürel zenginliğin görünür yüzü değil; bu zenginliği var eden ve kuşaklar arası aktaran işlevsel hafıza mekanizmalarıdır. Bu durum, kentin çok katmanlı kimliğini anlamada motif analizinin vazgeçilmez bir yöntemsel araç olduğunu ortaya koymaktadır.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4CC0FDCE" w14:textId="17F8A704" w:rsidR="0043155E" w:rsidRPr="0043155E" w:rsidRDefault="0043155E" w:rsidP="0043155E">
            <w:pPr>
              <w:ind w:firstLine="0"/>
              <w:jc w:val="left"/>
              <w:rPr>
                <w:rFonts w:ascii="Times New Roman" w:hAnsi="Times New Roman" w:cs="Times New Roman"/>
                <w:bCs/>
                <w:i/>
                <w:sz w:val="24"/>
                <w:szCs w:val="24"/>
              </w:rPr>
            </w:pPr>
            <w:r w:rsidRPr="0043155E">
              <w:rPr>
                <w:rFonts w:ascii="Times New Roman" w:hAnsi="Times New Roman" w:cs="Times New Roman"/>
                <w:b/>
                <w:bCs/>
                <w:i/>
                <w:sz w:val="24"/>
                <w:szCs w:val="24"/>
              </w:rPr>
              <w:lastRenderedPageBreak/>
              <w:t>Anahtar Kelimeler:</w:t>
            </w:r>
            <w:r w:rsidRPr="0043155E">
              <w:rPr>
                <w:rFonts w:ascii="Times New Roman" w:hAnsi="Times New Roman" w:cs="Times New Roman"/>
                <w:b/>
                <w:i/>
                <w:sz w:val="24"/>
                <w:szCs w:val="24"/>
              </w:rPr>
              <w:t xml:space="preserve"> </w:t>
            </w:r>
            <w:r w:rsidRPr="0043155E">
              <w:rPr>
                <w:rFonts w:ascii="Times New Roman" w:hAnsi="Times New Roman" w:cs="Times New Roman"/>
                <w:bCs/>
                <w:i/>
                <w:sz w:val="24"/>
                <w:szCs w:val="24"/>
              </w:rPr>
              <w:t>Safranbolu</w:t>
            </w:r>
            <w:r>
              <w:rPr>
                <w:rFonts w:ascii="Times New Roman" w:hAnsi="Times New Roman" w:cs="Times New Roman"/>
                <w:bCs/>
                <w:i/>
                <w:sz w:val="24"/>
                <w:szCs w:val="24"/>
              </w:rPr>
              <w:t>,</w:t>
            </w:r>
            <w:r w:rsidRPr="0043155E">
              <w:rPr>
                <w:rFonts w:ascii="Times New Roman" w:hAnsi="Times New Roman" w:cs="Times New Roman"/>
                <w:bCs/>
                <w:i/>
                <w:sz w:val="24"/>
                <w:szCs w:val="24"/>
              </w:rPr>
              <w:t xml:space="preserve"> </w:t>
            </w:r>
            <w:r w:rsidRPr="0043155E">
              <w:rPr>
                <w:rFonts w:ascii="Times New Roman" w:hAnsi="Times New Roman" w:cs="Times New Roman"/>
                <w:bCs/>
                <w:i/>
                <w:sz w:val="24"/>
                <w:szCs w:val="24"/>
              </w:rPr>
              <w:t xml:space="preserve">UNESCO, motif, ritüel, kültürel bellek, sembolizm, inanç sistemi, mimari </w:t>
            </w:r>
          </w:p>
          <w:p w14:paraId="21B5F3D5" w14:textId="593E7951" w:rsidR="00186477" w:rsidRPr="009F553C" w:rsidRDefault="00186477" w:rsidP="00186477">
            <w:pPr>
              <w:ind w:firstLine="0"/>
              <w:jc w:val="left"/>
              <w:rPr>
                <w:rFonts w:ascii="Times New Roman" w:hAnsi="Times New Roman" w:cs="Times New Roman"/>
                <w:i/>
                <w:sz w:val="24"/>
                <w:szCs w:val="24"/>
              </w:rPr>
            </w:pP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01C04" w14:textId="77777777" w:rsidR="00A74106" w:rsidRDefault="00A74106" w:rsidP="005C32FC">
      <w:pPr>
        <w:spacing w:after="0"/>
      </w:pPr>
      <w:r>
        <w:separator/>
      </w:r>
    </w:p>
  </w:endnote>
  <w:endnote w:type="continuationSeparator" w:id="0">
    <w:p w14:paraId="1CB6B4D7" w14:textId="77777777" w:rsidR="00A74106" w:rsidRDefault="00A74106"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05EDD" w14:textId="77777777" w:rsidR="00A74106" w:rsidRDefault="00A74106" w:rsidP="005C32FC">
      <w:pPr>
        <w:spacing w:after="0"/>
      </w:pPr>
      <w:r>
        <w:separator/>
      </w:r>
    </w:p>
  </w:footnote>
  <w:footnote w:type="continuationSeparator" w:id="0">
    <w:p w14:paraId="6507BE70" w14:textId="77777777" w:rsidR="00A74106" w:rsidRDefault="00A74106" w:rsidP="005C32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3155E"/>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74106"/>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70960">
      <w:bodyDiv w:val="1"/>
      <w:marLeft w:val="0"/>
      <w:marRight w:val="0"/>
      <w:marTop w:val="0"/>
      <w:marBottom w:val="0"/>
      <w:divBdr>
        <w:top w:val="none" w:sz="0" w:space="0" w:color="auto"/>
        <w:left w:val="none" w:sz="0" w:space="0" w:color="auto"/>
        <w:bottom w:val="none" w:sz="0" w:space="0" w:color="auto"/>
        <w:right w:val="none" w:sz="0" w:space="0" w:color="auto"/>
      </w:divBdr>
    </w:div>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349674349">
      <w:bodyDiv w:val="1"/>
      <w:marLeft w:val="0"/>
      <w:marRight w:val="0"/>
      <w:marTop w:val="0"/>
      <w:marBottom w:val="0"/>
      <w:divBdr>
        <w:top w:val="none" w:sz="0" w:space="0" w:color="auto"/>
        <w:left w:val="none" w:sz="0" w:space="0" w:color="auto"/>
        <w:bottom w:val="none" w:sz="0" w:space="0" w:color="auto"/>
        <w:right w:val="none" w:sz="0" w:space="0" w:color="auto"/>
      </w:divBdr>
    </w:div>
    <w:div w:id="158166915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2026-02-28T17:02:00Z</dcterms:modified>
</cp:coreProperties>
</file>