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36"/>
      </w:tblGrid>
      <w:tr w:rsidR="00C06855" w:rsidRPr="008C53F4" w:rsidTr="001331AF">
        <w:trPr>
          <w:trHeight w:val="1812"/>
        </w:trPr>
        <w:tc>
          <w:tcPr>
            <w:tcW w:w="10173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FC1DD8">
            <w:pPr>
              <w:ind w:left="426"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F16C153" wp14:editId="27038258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-511810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331AF">
        <w:trPr>
          <w:trHeight w:val="1385"/>
        </w:trPr>
        <w:tc>
          <w:tcPr>
            <w:tcW w:w="10173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046BF8" w:rsidRDefault="00046BF8" w:rsidP="00FC1DD8">
            <w:pPr>
              <w:ind w:left="426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6BF8">
              <w:rPr>
                <w:rFonts w:ascii="Times New Roman" w:hAnsi="Times New Roman" w:cs="Times New Roman"/>
                <w:b/>
                <w:sz w:val="24"/>
              </w:rPr>
              <w:t>THE “KÜTAHYA ZEYBEK TROUPE” CATALOG İN THE CONTEXT OF PRESERVİNG, REPRODUCİNG, AND TRANSMİTTİNG MOTİFS İN ADULT EDUCATİON INSTİTUTES</w:t>
            </w:r>
          </w:p>
          <w:p w:rsidR="00C06855" w:rsidRPr="00D15E35" w:rsidRDefault="00046BF8" w:rsidP="00046BF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Nuri Erbay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</w:tr>
      <w:tr w:rsidR="00C06855" w:rsidRPr="008C53F4" w:rsidTr="001331AF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331AF">
            <w:pPr>
              <w:spacing w:after="0"/>
              <w:ind w:left="42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4536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331AF">
        <w:trPr>
          <w:trHeight w:val="5170"/>
        </w:trPr>
        <w:tc>
          <w:tcPr>
            <w:tcW w:w="10173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046BF8" w:rsidP="001331AF">
            <w:pPr>
              <w:pStyle w:val="AralkYok"/>
              <w:spacing w:line="276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Kütahya is an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ancient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civilizations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throughout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holds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privileged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Kütahya 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continues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live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chivalry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brotherhood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distinctive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melodies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dances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costumes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Institutes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‘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’.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documenting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preparing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labels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documenting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archiving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templates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recording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rituals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prepared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on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titled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“Kütahya Zeybek Alayı” (Kütahya 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Parade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Kütahya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“alay” in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military-derived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name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individuals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served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community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describes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itself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continuation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“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colonizing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Turkish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dervishhood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ehl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-i seyf” (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armed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)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ahi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clothing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Zeybek life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Carefully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selected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Ahmet Haldun Eralp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consisting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18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jackets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gazekes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vests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pair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trousers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dozens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100-200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a ‘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compilation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emerged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aforementioned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stages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obtained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sections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containing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recorded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unchanged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sources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comprehensively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motif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revived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forgotten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handicraft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musicologists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designers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linguists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handicraft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experts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revealed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 32-piece “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Men's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Vests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Collection,” a 30-piece “Zeybek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Praise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“Zeybek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Puppets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Dolls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Furthermore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it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transform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aesthetic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resource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nominated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UNESCO “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“Kütahya Zeybek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Troupe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catalog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Kütahya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is an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preservation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transmission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046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6855" w:rsidRPr="008C53F4" w:rsidTr="001331AF">
        <w:trPr>
          <w:trHeight w:val="522"/>
        </w:trPr>
        <w:tc>
          <w:tcPr>
            <w:tcW w:w="10173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1331AF">
            <w:pPr>
              <w:ind w:left="426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Kütahya Zeybek </w:t>
            </w:r>
            <w:proofErr w:type="spellStart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Troupe</w:t>
            </w:r>
            <w:proofErr w:type="spellEnd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Adult</w:t>
            </w:r>
            <w:proofErr w:type="spellEnd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Education</w:t>
            </w:r>
            <w:proofErr w:type="spellEnd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Institute</w:t>
            </w:r>
            <w:proofErr w:type="spellEnd"/>
            <w:r w:rsidR="001331AF" w:rsidRPr="001331A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Motif.</w:t>
            </w:r>
          </w:p>
        </w:tc>
      </w:tr>
    </w:tbl>
    <w:p w:rsidR="00365790" w:rsidRDefault="00365790">
      <w:bookmarkStart w:id="0" w:name="_GoBack"/>
      <w:bookmarkEnd w:id="0"/>
    </w:p>
    <w:sectPr w:rsidR="00365790" w:rsidSect="001331A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58" w:rsidRDefault="00542A58" w:rsidP="00C06855">
      <w:pPr>
        <w:spacing w:before="0" w:after="0"/>
      </w:pPr>
      <w:r>
        <w:separator/>
      </w:r>
    </w:p>
  </w:endnote>
  <w:endnote w:type="continuationSeparator" w:id="0">
    <w:p w:rsidR="00542A58" w:rsidRDefault="00542A58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58" w:rsidRDefault="00542A58" w:rsidP="00C06855">
      <w:pPr>
        <w:spacing w:before="0" w:after="0"/>
      </w:pPr>
      <w:r>
        <w:separator/>
      </w:r>
    </w:p>
  </w:footnote>
  <w:footnote w:type="continuationSeparator" w:id="0">
    <w:p w:rsidR="00542A58" w:rsidRDefault="00542A58" w:rsidP="00C06855">
      <w:pPr>
        <w:spacing w:before="0" w:after="0"/>
      </w:pPr>
      <w:r>
        <w:continuationSeparator/>
      </w:r>
    </w:p>
  </w:footnote>
  <w:footnote w:id="1">
    <w:p w:rsidR="00C06855" w:rsidRDefault="00C06855" w:rsidP="00FC1DD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1331AF">
        <w:rPr>
          <w:i/>
        </w:rPr>
        <w:t>Nuri Erbay</w:t>
      </w:r>
      <w:r w:rsidRPr="00C06855">
        <w:rPr>
          <w:i/>
        </w:rPr>
        <w:t xml:space="preserve">, </w:t>
      </w:r>
      <w:proofErr w:type="spellStart"/>
      <w:r w:rsidR="001331AF" w:rsidRPr="001331AF">
        <w:rPr>
          <w:i/>
        </w:rPr>
        <w:t>Adult</w:t>
      </w:r>
      <w:proofErr w:type="spellEnd"/>
      <w:r w:rsidR="001331AF" w:rsidRPr="001331AF">
        <w:rPr>
          <w:i/>
        </w:rPr>
        <w:t xml:space="preserve"> </w:t>
      </w:r>
      <w:proofErr w:type="spellStart"/>
      <w:r w:rsidR="001331AF" w:rsidRPr="001331AF">
        <w:rPr>
          <w:i/>
        </w:rPr>
        <w:t>Education</w:t>
      </w:r>
      <w:proofErr w:type="spellEnd"/>
      <w:r w:rsidR="001331AF" w:rsidRPr="001331AF">
        <w:rPr>
          <w:i/>
        </w:rPr>
        <w:t xml:space="preserve"> </w:t>
      </w:r>
      <w:proofErr w:type="spellStart"/>
      <w:r w:rsidR="001331AF" w:rsidRPr="001331AF">
        <w:rPr>
          <w:i/>
        </w:rPr>
        <w:t>Institute</w:t>
      </w:r>
      <w:proofErr w:type="spellEnd"/>
      <w:r w:rsidR="001331AF">
        <w:rPr>
          <w:i/>
        </w:rPr>
        <w:t xml:space="preserve"> Kütahya</w:t>
      </w:r>
      <w:r w:rsidRPr="00C06855">
        <w:rPr>
          <w:i/>
        </w:rPr>
        <w:t xml:space="preserve">, </w:t>
      </w:r>
      <w:r w:rsidR="001331AF">
        <w:rPr>
          <w:i/>
        </w:rPr>
        <w:t>nurierbay@gmail.com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8E7B022" wp14:editId="7B5CF1B3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37B148B4" wp14:editId="273EF1CA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4" name="Resim 4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4CEA867" wp14:editId="771F3EF9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5" name="Resim 5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55"/>
    <w:rsid w:val="00046BF8"/>
    <w:rsid w:val="001203FE"/>
    <w:rsid w:val="001331AF"/>
    <w:rsid w:val="00153814"/>
    <w:rsid w:val="002904E6"/>
    <w:rsid w:val="00365790"/>
    <w:rsid w:val="00542A58"/>
    <w:rsid w:val="00951FB4"/>
    <w:rsid w:val="00C06855"/>
    <w:rsid w:val="00DA7410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76E5AF7-75F9-4A6A-9CB7-FAAB2524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Ahmet Nuri </cp:lastModifiedBy>
  <cp:revision>9</cp:revision>
  <dcterms:created xsi:type="dcterms:W3CDTF">2025-11-21T13:01:00Z</dcterms:created>
  <dcterms:modified xsi:type="dcterms:W3CDTF">2026-02-27T16:57:00Z</dcterms:modified>
</cp:coreProperties>
</file>