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jc w:val="both"/>
      </w:pPr>
      <w:r>
        <w:rPr>
          <w:rFonts w:ascii="Times New Roman" w:hAnsi="Times New Roman"/>
          <w:b/>
          <w:sz w:val="24"/>
        </w:rPr>
        <w:t>GELENEKSEL ZANAATTAN KÜLTÜREL SERMAYEYE: TELKÂRİ SANATININ SOSYO-KÜLTÜREL VE EKONOMİK DÖNÜŞÜMÜ</w:t>
      </w:r>
    </w:p>
    <w:p/>
    <w:p>
      <w:pPr>
        <w:spacing w:line="360" w:lineRule="auto" w:before="0" w:after="0"/>
        <w:jc w:val="both"/>
      </w:pPr>
      <w:r>
        <w:rPr>
          <w:rFonts w:ascii="Times New Roman" w:hAnsi="Times New Roman"/>
          <w:sz w:val="24"/>
        </w:rPr>
        <w:t>Bu çalışmanın amacı, telkâri sanatının tarihsel gelişimini, üretim pratiğini ve günümüzde geçirdiği dönüşümü kültürel kimlik ve sürdürülebilirlik bağlamında incelemektir. Araştırmada nitel yöntem benimsenmiş; literatür taraması ve kavramsal analiz teknikleri kullanılmıştır. İnceleme sonucunda telkârinin yalnızca bir süsleme tekniği olmadığı, aynı zamanda usta-çırak ilişkisi temelinde aktarılan bir bilgi sistemi ve kültürel kimliğin taşıyıcısı olduğu belirlenmiştir. Sanayileşme ve seri üretim süreçleri geleneksel üretimi ekonomik açıdan zorlamış olsa da, turizm, tasarım odaklı üretim ve yerel kalkınma girişimleri telkâri sanatının yeniden konumlanmasına katkı sağlamıştır. Sonuç olarak telkâri, estetik değerinin ötesinde kültürel belleği koruyan ve yerel ekonomiye katkı sunan çok katmanlı bir miras alanı olarak değerlendirilmektedir. Bu bağlamda eğitim politikalarının güçlendirilmesi, tasarım inovasyonu ve kültürel koruma stratejilerinin birlikte ele alınması sürdürülebilirlik açısından önem taşımaktadır.</w:t>
      </w:r>
    </w:p>
    <w:p/>
    <w:p>
      <w:pPr>
        <w:spacing w:line="360" w:lineRule="auto" w:before="0" w:after="0"/>
        <w:jc w:val="both"/>
      </w:pPr>
      <w:r>
        <w:rPr>
          <w:rFonts w:ascii="Times New Roman" w:hAnsi="Times New Roman"/>
          <w:sz w:val="24"/>
        </w:rPr>
        <w:t>Anahtar Kelimeler: Telkâri, kültürel miras, zanaat, sürdürülebilirlik, tasarım</w:t>
      </w:r>
    </w:p>
    <w:p>
      <w:r>
        <w:br w:type="page"/>
      </w:r>
    </w:p>
    <w:p>
      <w:pPr>
        <w:spacing w:line="360" w:lineRule="auto" w:before="0" w:after="0"/>
        <w:jc w:val="both"/>
      </w:pPr>
      <w:r>
        <w:rPr>
          <w:rFonts w:ascii="Times New Roman" w:hAnsi="Times New Roman"/>
          <w:b/>
          <w:sz w:val="24"/>
        </w:rPr>
        <w:t>FROM TRADITIONAL CRAFT TO CULTURAL CAPITAL: THE SOCIO-CULTURAL AND ECONOMIC TRANSFORMATION OF FILIGREE ART</w:t>
      </w:r>
    </w:p>
    <w:p/>
    <w:p>
      <w:pPr>
        <w:spacing w:line="360" w:lineRule="auto" w:before="0" w:after="0"/>
        <w:jc w:val="both"/>
      </w:pPr>
      <w:r>
        <w:rPr>
          <w:rFonts w:ascii="Times New Roman" w:hAnsi="Times New Roman"/>
          <w:sz w:val="24"/>
        </w:rPr>
        <w:t>The aim of this study is to examine the historical development, production practice and contemporary transformation of filigree art within the context of cultural identity and sustainability. A qualitative research approach was adopted and literature review and conceptual analysis methods were employed. The findings indicate that filigree is not merely a decorative technique but also a knowledge system transmitted through the master-apprentice relationship and a carrier of cultural identity. Although industrialization and mass production have economically challenged traditional production, tourism, design-oriented production and local development initiatives have contributed to the repositioning of filigree art. As a result, filigree is evaluated as a multi-layered heritage field that preserves cultural memory and contributes to the local economy beyond its aesthetic value. In this context, strengthening educational policies, promoting design innovation and implementing cultural protection strategies are crucial for sustainability.</w:t>
      </w:r>
    </w:p>
    <w:p/>
    <w:p>
      <w:pPr>
        <w:spacing w:line="360" w:lineRule="auto" w:before="0" w:after="0"/>
        <w:jc w:val="both"/>
      </w:pPr>
      <w:r>
        <w:rPr>
          <w:rFonts w:ascii="Times New Roman" w:hAnsi="Times New Roman"/>
          <w:sz w:val="24"/>
        </w:rPr>
        <w:t>Keywords: Filigree, cultural heritage, craft, sustainability, design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