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7578" w:rsidRDefault="00B57578">
      <w:pPr>
        <w:widowControl w:val="0"/>
        <w:pBdr>
          <w:top w:val="nil"/>
          <w:left w:val="nil"/>
          <w:bottom w:val="nil"/>
          <w:right w:val="nil"/>
          <w:between w:val="nil"/>
        </w:pBdr>
        <w:spacing w:before="0" w:after="0" w:line="276" w:lineRule="auto"/>
        <w:ind w:firstLine="0"/>
        <w:jc w:val="left"/>
        <w:rPr>
          <w:rFonts w:ascii="Arial" w:eastAsia="Arial" w:hAnsi="Arial" w:cs="Arial"/>
          <w:color w:val="000000"/>
        </w:rPr>
      </w:pPr>
    </w:p>
    <w:tbl>
      <w:tblPr>
        <w:tblStyle w:val="a"/>
        <w:tblW w:w="928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372"/>
        <w:gridCol w:w="265"/>
        <w:gridCol w:w="3213"/>
        <w:gridCol w:w="436"/>
      </w:tblGrid>
      <w:tr w:rsidR="00B57578">
        <w:trPr>
          <w:gridAfter w:val="1"/>
          <w:wAfter w:w="436" w:type="dxa"/>
          <w:trHeight w:val="1938"/>
        </w:trPr>
        <w:tc>
          <w:tcPr>
            <w:tcW w:w="8850" w:type="dxa"/>
            <w:gridSpan w:val="3"/>
            <w:tcBorders>
              <w:top w:val="single" w:sz="4" w:space="0" w:color="663300"/>
              <w:bottom w:val="single" w:sz="4" w:space="0" w:color="663300"/>
            </w:tcBorders>
            <w:vAlign w:val="bottom"/>
          </w:tcPr>
          <w:p w:rsidR="00B57578" w:rsidRDefault="00DD58B1">
            <w:pPr>
              <w:ind w:firstLine="0"/>
              <w:rPr>
                <w:rFonts w:ascii="Times New Roman" w:eastAsia="Times New Roman" w:hAnsi="Times New Roman" w:cs="Times New Roman"/>
                <w:i/>
                <w:iCs/>
                <w:sz w:val="28"/>
                <w:szCs w:val="28"/>
              </w:rPr>
            </w:pPr>
            <w:r>
              <w:rPr>
                <w:noProof/>
                <w:lang w:val="tr-TR"/>
              </w:rPr>
              <w:drawing>
                <wp:anchor distT="0" distB="0" distL="114300" distR="114300" simplePos="0" relativeHeight="251658240" behindDoc="0" locked="0" layoutInCell="1" hidden="0" allowOverlap="1">
                  <wp:simplePos x="0" y="0"/>
                  <wp:positionH relativeFrom="column">
                    <wp:posOffset>650240</wp:posOffset>
                  </wp:positionH>
                  <wp:positionV relativeFrom="paragraph">
                    <wp:posOffset>-774699</wp:posOffset>
                  </wp:positionV>
                  <wp:extent cx="4648200" cy="98107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4648200" cy="981075"/>
                          </a:xfrm>
                          <a:prstGeom prst="rect">
                            <a:avLst/>
                          </a:prstGeom>
                          <a:ln/>
                        </pic:spPr>
                      </pic:pic>
                    </a:graphicData>
                  </a:graphic>
                </wp:anchor>
              </w:drawing>
            </w:r>
          </w:p>
        </w:tc>
      </w:tr>
      <w:tr w:rsidR="00B57578">
        <w:trPr>
          <w:gridAfter w:val="1"/>
          <w:wAfter w:w="436" w:type="dxa"/>
          <w:trHeight w:val="951"/>
        </w:trPr>
        <w:tc>
          <w:tcPr>
            <w:tcW w:w="8850" w:type="dxa"/>
            <w:gridSpan w:val="3"/>
            <w:tcBorders>
              <w:top w:val="single" w:sz="4" w:space="0" w:color="663300"/>
              <w:bottom w:val="single" w:sz="4" w:space="0" w:color="FFFFFF"/>
            </w:tcBorders>
            <w:vAlign w:val="center"/>
          </w:tcPr>
          <w:p w:rsidR="00B57578" w:rsidRDefault="00DD58B1">
            <w:pPr>
              <w:spacing w:before="0" w:after="160"/>
              <w:ind w:firstLine="0"/>
              <w:jc w:val="center"/>
              <w:rPr>
                <w:rFonts w:ascii="Times New Roman" w:eastAsia="Times New Roman" w:hAnsi="Times New Roman" w:cs="Times New Roman"/>
              </w:rPr>
            </w:pPr>
            <w:r>
              <w:rPr>
                <w:rFonts w:ascii="Times New Roman" w:eastAsia="Times New Roman" w:hAnsi="Times New Roman" w:cs="Times New Roman"/>
                <w:b/>
                <w:bCs/>
                <w:sz w:val="24"/>
                <w:szCs w:val="24"/>
              </w:rPr>
              <w:t>Türklerde Güç, Kuvvet ve İktidar Motiflerinin Türkistan Coğrafyasından Anadolu’ya Yolculuğu</w:t>
            </w:r>
          </w:p>
        </w:tc>
      </w:tr>
      <w:tr w:rsidR="00B57578">
        <w:trPr>
          <w:gridAfter w:val="1"/>
          <w:wAfter w:w="436" w:type="dxa"/>
          <w:trHeight w:val="951"/>
        </w:trPr>
        <w:tc>
          <w:tcPr>
            <w:tcW w:w="8850" w:type="dxa"/>
            <w:gridSpan w:val="3"/>
            <w:tcBorders>
              <w:top w:val="single" w:sz="4" w:space="0" w:color="FFFFFF"/>
            </w:tcBorders>
            <w:vAlign w:val="center"/>
          </w:tcPr>
          <w:p w:rsidR="00B57578" w:rsidRDefault="00DD58B1">
            <w:pPr>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Özge Erden Güner</w:t>
            </w:r>
            <w:r>
              <w:rPr>
                <w:rFonts w:ascii="Times New Roman" w:eastAsia="Times New Roman" w:hAnsi="Times New Roman" w:cs="Times New Roman"/>
                <w:b/>
                <w:bCs/>
                <w:sz w:val="24"/>
                <w:szCs w:val="24"/>
                <w:vertAlign w:val="superscript"/>
              </w:rPr>
              <w:footnoteReference w:id="1"/>
            </w:r>
          </w:p>
          <w:p w:rsidR="00B57578" w:rsidRDefault="00DD58B1">
            <w:pPr>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Elif Burcu Ulun</w:t>
            </w:r>
            <w:r>
              <w:rPr>
                <w:rFonts w:ascii="Times New Roman" w:eastAsia="Times New Roman" w:hAnsi="Times New Roman" w:cs="Times New Roman"/>
                <w:b/>
                <w:bCs/>
                <w:sz w:val="24"/>
                <w:szCs w:val="24"/>
                <w:vertAlign w:val="superscript"/>
              </w:rPr>
              <w:footnoteReference w:id="2"/>
            </w:r>
          </w:p>
          <w:p w:rsidR="00B57578" w:rsidRDefault="00B57578">
            <w:pPr>
              <w:ind w:firstLine="0"/>
              <w:jc w:val="center"/>
              <w:rPr>
                <w:rFonts w:ascii="Times New Roman" w:eastAsia="Times New Roman" w:hAnsi="Times New Roman" w:cs="Times New Roman"/>
                <w:i/>
                <w:iCs/>
              </w:rPr>
            </w:pPr>
          </w:p>
        </w:tc>
      </w:tr>
      <w:tr w:rsidR="00B57578">
        <w:trPr>
          <w:gridAfter w:val="1"/>
          <w:wAfter w:w="436" w:type="dxa"/>
          <w:trHeight w:val="503"/>
        </w:trPr>
        <w:tc>
          <w:tcPr>
            <w:tcW w:w="5372" w:type="dxa"/>
            <w:tcBorders>
              <w:top w:val="single" w:sz="4" w:space="0" w:color="663300"/>
              <w:bottom w:val="single" w:sz="4" w:space="0" w:color="663300"/>
            </w:tcBorders>
            <w:vAlign w:val="bottom"/>
          </w:tcPr>
          <w:p w:rsidR="00B57578" w:rsidRDefault="00DD58B1">
            <w:pPr>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Özet</w:t>
            </w:r>
          </w:p>
        </w:tc>
        <w:tc>
          <w:tcPr>
            <w:tcW w:w="3478" w:type="dxa"/>
            <w:gridSpan w:val="2"/>
            <w:tcBorders>
              <w:top w:val="single" w:sz="4" w:space="0" w:color="663300"/>
              <w:bottom w:val="single" w:sz="4" w:space="0" w:color="663300"/>
            </w:tcBorders>
            <w:vAlign w:val="bottom"/>
          </w:tcPr>
          <w:p w:rsidR="00B57578" w:rsidRDefault="00B57578">
            <w:pPr>
              <w:jc w:val="right"/>
              <w:rPr>
                <w:rFonts w:ascii="Times New Roman" w:eastAsia="Times New Roman" w:hAnsi="Times New Roman" w:cs="Times New Roman"/>
                <w:b/>
                <w:bCs/>
                <w:i/>
                <w:iCs/>
                <w:sz w:val="24"/>
                <w:szCs w:val="24"/>
              </w:rPr>
            </w:pPr>
          </w:p>
        </w:tc>
      </w:tr>
      <w:tr w:rsidR="00B57578">
        <w:trPr>
          <w:gridAfter w:val="1"/>
          <w:wAfter w:w="436" w:type="dxa"/>
          <w:trHeight w:val="4965"/>
        </w:trPr>
        <w:tc>
          <w:tcPr>
            <w:tcW w:w="8850" w:type="dxa"/>
            <w:gridSpan w:val="3"/>
            <w:tcBorders>
              <w:top w:val="single" w:sz="4" w:space="0" w:color="663300"/>
              <w:bottom w:val="single" w:sz="4" w:space="0" w:color="663300"/>
            </w:tcBorders>
            <w:vAlign w:val="center"/>
          </w:tcPr>
          <w:p w:rsidR="00B57578" w:rsidRDefault="00DD58B1">
            <w:pPr>
              <w:spacing w:after="160" w:line="276" w:lineRule="auto"/>
              <w:rPr>
                <w:rFonts w:ascii="Times New Roman" w:eastAsia="Times New Roman" w:hAnsi="Times New Roman" w:cs="Times New Roman"/>
              </w:rPr>
            </w:pPr>
            <w:r>
              <w:rPr>
                <w:rFonts w:ascii="Times New Roman" w:eastAsia="Times New Roman" w:hAnsi="Times New Roman" w:cs="Times New Roman"/>
              </w:rPr>
              <w:t>Bu çalışmada Anadolu’da Türk devletleri tarafından kullanılan güç, kuvvet ve iktidar motiflerinin İslamiyet Öncesi Dönem’den itibaren geçirdiği değişim ve dönüşüm incelenecektir. Bu bağlamda motiflerin değişim ve dönüşümünü göstermek için Türkistan coğrafyasında kurulan ilk Türk devletlerinde kullanılan güç, kuvvet ve iktidar motiflerinden bahsedilecektir. Ardından İpek Yolu ile etkileşim hâlinde olan Türk devletlerinin kullandığı güç, kuvvet ve iktidar motifleri incelenerek karşılaştırma yapılacaktır. Böylece İpek Yolu aracılığı ile Türklerde hangi motiflerin kullanımının arttığı hangilerinin anlamının değiştiği, kullanımının azaldığı ve hangi motiflerin zamanla kullanılmaya başlandığı ortaya konmaya çalışılacaktır. Türkler, İpek Yolu vasıtasıyla özellikle de İpek Yolu üzerinde hâkimiyet kurdukları dönemlerde farklı dil, din ve kültüre sahip topluluklar ile kültürel etkileşimde bulunmuştur. Bu etkileşimler sonucunda Türk kültürüne yeni unsurlar girmiş ve bazı unsurlarda ise değişimler yaşanmıştır. Anadolu’da da güç ve kuvveti ifade etmek için Hun ve Göktürk dönemlerinde kullanılan koçboynuzu, ejderha ve kartal gibi motifler kullanılmakla birlikte; Uygurlarda Budizm’in etkisiyle gelen, ilahi güç ve içsel denge anlamlarını ifade eden çintemani gibi motifler de kullanılmıştır</w:t>
            </w:r>
            <w:r w:rsidRPr="00773FC7">
              <w:rPr>
                <w:rFonts w:ascii="Times New Roman" w:eastAsia="Times New Roman" w:hAnsi="Times New Roman" w:cs="Times New Roman"/>
              </w:rPr>
              <w:t>. Timur’un san</w:t>
            </w:r>
            <w:r w:rsidR="00773FC7" w:rsidRPr="00773FC7">
              <w:rPr>
                <w:rFonts w:ascii="Times New Roman" w:eastAsia="Times New Roman" w:hAnsi="Times New Roman" w:cs="Times New Roman"/>
              </w:rPr>
              <w:t>cağında çintemani kullanmasıyla birlikte</w:t>
            </w:r>
            <w:r w:rsidRPr="00773FC7">
              <w:rPr>
                <w:rFonts w:ascii="Times New Roman" w:eastAsia="Times New Roman" w:hAnsi="Times New Roman" w:cs="Times New Roman"/>
              </w:rPr>
              <w:t xml:space="preserve"> bu motif Türkler arasında dünyevi güç, otorite ve hâkimiyet simgesi olarak görülmüş</w:t>
            </w:r>
            <w:r>
              <w:rPr>
                <w:rFonts w:ascii="Times New Roman" w:eastAsia="Times New Roman" w:hAnsi="Times New Roman" w:cs="Times New Roman"/>
              </w:rPr>
              <w:t xml:space="preserve"> ve Osmanlı tarafından da oldukça beğenilerek padişah kıyafetlerinde kullanılmıştır. İpek Yolu vasıtasıyla yayılan dinler ve kültürel etkileşim vasıtasıyla çeşitli motifler Türkler tarafından güç, kuvvet ve iktidarı simgelemek için kullanılırken bazıları zaman içinde ya farklı anlamda kullanılmış ya kullanımı azalmış ya da daha sık kullanılmıştır.</w:t>
            </w:r>
          </w:p>
          <w:p w:rsidR="00B57578" w:rsidRDefault="00B57578">
            <w:pPr>
              <w:pBdr>
                <w:top w:val="nil"/>
                <w:left w:val="nil"/>
                <w:bottom w:val="nil"/>
                <w:right w:val="nil"/>
                <w:between w:val="nil"/>
              </w:pBdr>
              <w:spacing w:before="240" w:after="120" w:line="360" w:lineRule="auto"/>
              <w:ind w:firstLine="0"/>
              <w:rPr>
                <w:rFonts w:ascii="Times New Roman" w:eastAsia="Times New Roman" w:hAnsi="Times New Roman" w:cs="Times New Roman"/>
                <w:color w:val="000000"/>
                <w:sz w:val="24"/>
                <w:szCs w:val="24"/>
              </w:rPr>
            </w:pPr>
          </w:p>
        </w:tc>
      </w:tr>
      <w:tr w:rsidR="00B57578">
        <w:trPr>
          <w:gridAfter w:val="1"/>
          <w:wAfter w:w="436" w:type="dxa"/>
          <w:trHeight w:val="666"/>
        </w:trPr>
        <w:tc>
          <w:tcPr>
            <w:tcW w:w="8850" w:type="dxa"/>
            <w:gridSpan w:val="3"/>
            <w:tcBorders>
              <w:top w:val="single" w:sz="4" w:space="0" w:color="663300"/>
              <w:bottom w:val="single" w:sz="4" w:space="0" w:color="663300"/>
            </w:tcBorders>
            <w:vAlign w:val="bottom"/>
          </w:tcPr>
          <w:p w:rsidR="00B57578" w:rsidRDefault="00DD58B1">
            <w:pPr>
              <w:spacing w:line="276" w:lineRule="auto"/>
              <w:rPr>
                <w:rFonts w:ascii="Times New Roman" w:eastAsia="Times New Roman" w:hAnsi="Times New Roman" w:cs="Times New Roman"/>
              </w:rPr>
            </w:pPr>
            <w:r>
              <w:rPr>
                <w:rFonts w:ascii="Times New Roman" w:eastAsia="Times New Roman" w:hAnsi="Times New Roman" w:cs="Times New Roman"/>
                <w:b/>
                <w:bCs/>
                <w:i/>
                <w:iCs/>
                <w:sz w:val="24"/>
                <w:szCs w:val="24"/>
              </w:rPr>
              <w:t xml:space="preserve">Anahtar Kelimeler: </w:t>
            </w:r>
            <w:r w:rsidR="0057507C">
              <w:rPr>
                <w:rFonts w:ascii="Times New Roman" w:eastAsia="Times New Roman" w:hAnsi="Times New Roman" w:cs="Times New Roman"/>
                <w:i/>
                <w:iCs/>
              </w:rPr>
              <w:t>İpek y</w:t>
            </w:r>
            <w:r>
              <w:rPr>
                <w:rFonts w:ascii="Times New Roman" w:eastAsia="Times New Roman" w:hAnsi="Times New Roman" w:cs="Times New Roman"/>
                <w:i/>
                <w:iCs/>
              </w:rPr>
              <w:t>o</w:t>
            </w:r>
            <w:r w:rsidR="0057507C">
              <w:rPr>
                <w:rFonts w:ascii="Times New Roman" w:eastAsia="Times New Roman" w:hAnsi="Times New Roman" w:cs="Times New Roman"/>
                <w:i/>
                <w:iCs/>
              </w:rPr>
              <w:t>lu, Kültürel etkileşim, Güç ve k</w:t>
            </w:r>
            <w:r>
              <w:rPr>
                <w:rFonts w:ascii="Times New Roman" w:eastAsia="Times New Roman" w:hAnsi="Times New Roman" w:cs="Times New Roman"/>
                <w:i/>
                <w:iCs/>
              </w:rPr>
              <w:t>uvvet, Değişim, İktidar</w:t>
            </w:r>
          </w:p>
        </w:tc>
      </w:tr>
      <w:tr w:rsidR="00B57578">
        <w:trPr>
          <w:trHeight w:val="1962"/>
        </w:trPr>
        <w:tc>
          <w:tcPr>
            <w:tcW w:w="9286" w:type="dxa"/>
            <w:gridSpan w:val="4"/>
            <w:tcBorders>
              <w:top w:val="single" w:sz="4" w:space="0" w:color="663300"/>
              <w:bottom w:val="single" w:sz="4" w:space="0" w:color="663300"/>
            </w:tcBorders>
            <w:vAlign w:val="bottom"/>
          </w:tcPr>
          <w:p w:rsidR="00B57578" w:rsidRDefault="00DD58B1">
            <w:pPr>
              <w:ind w:firstLine="0"/>
              <w:rPr>
                <w:rFonts w:ascii="Times New Roman" w:eastAsia="Times New Roman" w:hAnsi="Times New Roman" w:cs="Times New Roman"/>
                <w:sz w:val="28"/>
                <w:szCs w:val="28"/>
              </w:rPr>
            </w:pPr>
            <w:r>
              <w:rPr>
                <w:i/>
                <w:iCs/>
                <w:noProof/>
                <w:lang w:val="tr-TR"/>
              </w:rPr>
              <w:lastRenderedPageBreak/>
              <w:drawing>
                <wp:inline distT="0" distB="0" distL="0" distR="0">
                  <wp:extent cx="5743575" cy="1209675"/>
                  <wp:effectExtent l="0" t="0" r="0" b="0"/>
                  <wp:docPr id="4" name="image4.png" descr="C:\Users\nrdnkbrky\AppData\Local\Microsoft\Windows\INetCache\Content.Word\WORD İNGİLİZCE.JPG"/>
                  <wp:cNvGraphicFramePr/>
                  <a:graphic xmlns:a="http://schemas.openxmlformats.org/drawingml/2006/main">
                    <a:graphicData uri="http://schemas.openxmlformats.org/drawingml/2006/picture">
                      <pic:pic xmlns:pic="http://schemas.openxmlformats.org/drawingml/2006/picture">
                        <pic:nvPicPr>
                          <pic:cNvPr id="0" name="image4.png" descr="C:\Users\nrdnkbrky\AppData\Local\Microsoft\Windows\INetCache\Content.Word\WORD İNGİLİZCE.JPG"/>
                          <pic:cNvPicPr preferRelativeResize="0"/>
                        </pic:nvPicPr>
                        <pic:blipFill>
                          <a:blip r:embed="rId7"/>
                          <a:srcRect/>
                          <a:stretch>
                            <a:fillRect/>
                          </a:stretch>
                        </pic:blipFill>
                        <pic:spPr>
                          <a:xfrm>
                            <a:off x="0" y="0"/>
                            <a:ext cx="5743575" cy="1209675"/>
                          </a:xfrm>
                          <a:prstGeom prst="rect">
                            <a:avLst/>
                          </a:prstGeom>
                          <a:ln/>
                        </pic:spPr>
                      </pic:pic>
                    </a:graphicData>
                  </a:graphic>
                </wp:inline>
              </w:drawing>
            </w:r>
          </w:p>
          <w:p w:rsidR="00B57578" w:rsidRDefault="00B57578">
            <w:pPr>
              <w:ind w:firstLine="0"/>
              <w:rPr>
                <w:rFonts w:ascii="Times New Roman" w:eastAsia="Times New Roman" w:hAnsi="Times New Roman" w:cs="Times New Roman"/>
                <w:sz w:val="28"/>
                <w:szCs w:val="28"/>
              </w:rPr>
            </w:pPr>
          </w:p>
        </w:tc>
      </w:tr>
      <w:tr w:rsidR="00B57578">
        <w:trPr>
          <w:trHeight w:val="991"/>
        </w:trPr>
        <w:tc>
          <w:tcPr>
            <w:tcW w:w="9286" w:type="dxa"/>
            <w:gridSpan w:val="4"/>
            <w:tcBorders>
              <w:top w:val="single" w:sz="4" w:space="0" w:color="663300"/>
              <w:bottom w:val="single" w:sz="4" w:space="0" w:color="663300"/>
            </w:tcBorders>
            <w:vAlign w:val="center"/>
          </w:tcPr>
          <w:p w:rsidR="00B57578" w:rsidRDefault="00DD58B1">
            <w:pPr>
              <w:pBdr>
                <w:top w:val="nil"/>
                <w:left w:val="nil"/>
                <w:bottom w:val="nil"/>
                <w:right w:val="nil"/>
                <w:between w:val="nil"/>
              </w:pBdr>
              <w:spacing w:after="1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The Journey of Motifs of Power, Strength, and Authority Among the Turks from the Geography of Turkestan to Anatolia</w:t>
            </w:r>
          </w:p>
        </w:tc>
      </w:tr>
      <w:tr w:rsidR="00B57578">
        <w:trPr>
          <w:trHeight w:val="524"/>
        </w:trPr>
        <w:tc>
          <w:tcPr>
            <w:tcW w:w="5637" w:type="dxa"/>
            <w:gridSpan w:val="2"/>
            <w:tcBorders>
              <w:top w:val="single" w:sz="4" w:space="0" w:color="663300"/>
              <w:bottom w:val="single" w:sz="4" w:space="0" w:color="663300"/>
            </w:tcBorders>
            <w:vAlign w:val="bottom"/>
          </w:tcPr>
          <w:p w:rsidR="00B57578" w:rsidRDefault="00DD58B1">
            <w:pPr>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tc>
        <w:tc>
          <w:tcPr>
            <w:tcW w:w="3649" w:type="dxa"/>
            <w:gridSpan w:val="2"/>
            <w:tcBorders>
              <w:top w:val="single" w:sz="4" w:space="0" w:color="663300"/>
              <w:bottom w:val="single" w:sz="4" w:space="0" w:color="663300"/>
            </w:tcBorders>
            <w:vAlign w:val="bottom"/>
          </w:tcPr>
          <w:p w:rsidR="00B57578" w:rsidRDefault="00B57578">
            <w:pPr>
              <w:jc w:val="right"/>
              <w:rPr>
                <w:rFonts w:ascii="Times New Roman" w:eastAsia="Times New Roman" w:hAnsi="Times New Roman" w:cs="Times New Roman"/>
                <w:b/>
                <w:bCs/>
                <w:sz w:val="24"/>
                <w:szCs w:val="24"/>
              </w:rPr>
            </w:pPr>
          </w:p>
        </w:tc>
      </w:tr>
      <w:tr w:rsidR="00B57578">
        <w:trPr>
          <w:trHeight w:val="5170"/>
        </w:trPr>
        <w:tc>
          <w:tcPr>
            <w:tcW w:w="9286" w:type="dxa"/>
            <w:gridSpan w:val="4"/>
            <w:tcBorders>
              <w:top w:val="single" w:sz="4" w:space="0" w:color="663300"/>
              <w:bottom w:val="single" w:sz="4" w:space="0" w:color="663300"/>
            </w:tcBorders>
            <w:vAlign w:val="center"/>
          </w:tcPr>
          <w:p w:rsidR="00B57578" w:rsidRDefault="00DD58B1">
            <w:pPr>
              <w:pBdr>
                <w:top w:val="nil"/>
                <w:left w:val="nil"/>
                <w:bottom w:val="nil"/>
                <w:right w:val="nil"/>
                <w:between w:val="nil"/>
              </w:pBdr>
              <w:spacing w:after="12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study examines the transformation and evolution of motifs symbolizing power, strength, and authority used by Turkish states in Anatolia, tracing their development along the </w:t>
            </w:r>
            <w:proofErr w:type="gramStart"/>
            <w:r>
              <w:rPr>
                <w:rFonts w:ascii="Times New Roman" w:eastAsia="Times New Roman" w:hAnsi="Times New Roman" w:cs="Times New Roman"/>
                <w:color w:val="000000"/>
              </w:rPr>
              <w:t>Silk</w:t>
            </w:r>
            <w:proofErr w:type="gramEnd"/>
            <w:r>
              <w:rPr>
                <w:rFonts w:ascii="Times New Roman" w:eastAsia="Times New Roman" w:hAnsi="Times New Roman" w:cs="Times New Roman"/>
                <w:color w:val="000000"/>
              </w:rPr>
              <w:t xml:space="preserve"> Road from the pre-Islamic period onward. In this context, in order to demonstrate the processes of change and transformation, the motifs of power, strength, and authority employed in the first Turkish states established in the geography of Turkestan will be discussed. Subsequently, a comparative analysis will be conducted by examining the motifs of power, strength, and authority utilized by Turkish states that interacted with the </w:t>
            </w:r>
            <w:proofErr w:type="gramStart"/>
            <w:r>
              <w:rPr>
                <w:rFonts w:ascii="Times New Roman" w:eastAsia="Times New Roman" w:hAnsi="Times New Roman" w:cs="Times New Roman"/>
                <w:color w:val="000000"/>
              </w:rPr>
              <w:t>Silk</w:t>
            </w:r>
            <w:proofErr w:type="gramEnd"/>
            <w:r>
              <w:rPr>
                <w:rFonts w:ascii="Times New Roman" w:eastAsia="Times New Roman" w:hAnsi="Times New Roman" w:cs="Times New Roman"/>
                <w:color w:val="000000"/>
              </w:rPr>
              <w:t xml:space="preserve"> Road. Thus, it will be sought to determine which motifs increased in usage among the Turks through the Silk Road, which underwent semantic transformation, which declined in use, and which began to be employed over </w:t>
            </w:r>
            <w:proofErr w:type="gramStart"/>
            <w:r>
              <w:rPr>
                <w:rFonts w:ascii="Times New Roman" w:eastAsia="Times New Roman" w:hAnsi="Times New Roman" w:cs="Times New Roman"/>
                <w:color w:val="000000"/>
              </w:rPr>
              <w:t>time.Through</w:t>
            </w:r>
            <w:proofErr w:type="gramEnd"/>
            <w:r>
              <w:rPr>
                <w:rFonts w:ascii="Times New Roman" w:eastAsia="Times New Roman" w:hAnsi="Times New Roman" w:cs="Times New Roman"/>
                <w:color w:val="000000"/>
              </w:rPr>
              <w:t xml:space="preserve"> the Silk Road, especially during the periods in which they established dominance over it, the Turks engaged in cultural interaction with communities that have different languages, religions, and cultural traditions. As a result of these interactions, new elements entered Turkish culture, while certain existing elements experienced transformation. In Anatolia, motifs such as the ram’s horn, dragon, and eagle which used during the Xiongnu and Göktürk periods to signify power and strength, continued to be employed. In addition to these, motifs such as the </w:t>
            </w:r>
            <w:r>
              <w:rPr>
                <w:rFonts w:ascii="Times New Roman" w:eastAsia="Times New Roman" w:hAnsi="Times New Roman" w:cs="Times New Roman"/>
                <w:i/>
                <w:iCs/>
                <w:color w:val="000000"/>
              </w:rPr>
              <w:t xml:space="preserve">cintemani </w:t>
            </w:r>
            <w:r>
              <w:rPr>
                <w:rFonts w:ascii="Times New Roman" w:eastAsia="Times New Roman" w:hAnsi="Times New Roman" w:cs="Times New Roman"/>
                <w:color w:val="000000"/>
              </w:rPr>
              <w:t xml:space="preserve">which entered Turkish visual culture under the influence of Buddhism among the Uyghurs and symbolized divine power and inner balance, were also adopted. Timur’s use of the </w:t>
            </w:r>
            <w:r>
              <w:rPr>
                <w:rFonts w:ascii="Times New Roman" w:eastAsia="Times New Roman" w:hAnsi="Times New Roman" w:cs="Times New Roman"/>
                <w:i/>
                <w:iCs/>
                <w:color w:val="000000"/>
              </w:rPr>
              <w:t xml:space="preserve">cintemani </w:t>
            </w:r>
            <w:r>
              <w:rPr>
                <w:rFonts w:ascii="Times New Roman" w:eastAsia="Times New Roman" w:hAnsi="Times New Roman" w:cs="Times New Roman"/>
                <w:color w:val="000000"/>
              </w:rPr>
              <w:t xml:space="preserve">on his </w:t>
            </w:r>
            <w:proofErr w:type="gramStart"/>
            <w:r>
              <w:rPr>
                <w:rFonts w:ascii="Times New Roman" w:eastAsia="Times New Roman" w:hAnsi="Times New Roman" w:cs="Times New Roman"/>
                <w:color w:val="000000"/>
              </w:rPr>
              <w:t>banner</w:t>
            </w:r>
            <w:proofErr w:type="gramEnd"/>
            <w:r>
              <w:rPr>
                <w:rFonts w:ascii="Times New Roman" w:eastAsia="Times New Roman" w:hAnsi="Times New Roman" w:cs="Times New Roman"/>
                <w:color w:val="000000"/>
              </w:rPr>
              <w:t xml:space="preserve"> contributed to the motif’s reinterpretation among the Turks as a symbol of worldly power, authority, and sovereignty; it was later highly appreciated by the Ottomans and widely incorporated into sultanic garments. In this respect, while various motifs disseminated through the </w:t>
            </w:r>
            <w:proofErr w:type="gramStart"/>
            <w:r>
              <w:rPr>
                <w:rFonts w:ascii="Times New Roman" w:eastAsia="Times New Roman" w:hAnsi="Times New Roman" w:cs="Times New Roman"/>
                <w:color w:val="000000"/>
              </w:rPr>
              <w:t>Silk</w:t>
            </w:r>
            <w:proofErr w:type="gramEnd"/>
            <w:r>
              <w:rPr>
                <w:rFonts w:ascii="Times New Roman" w:eastAsia="Times New Roman" w:hAnsi="Times New Roman" w:cs="Times New Roman"/>
                <w:color w:val="000000"/>
              </w:rPr>
              <w:t xml:space="preserve"> Road and shaped by religious and cultural interaction were utilized by the Turks to symbolize power, strength, and authority, some acquired new meanings over time, some declined in frequency of use, and others came to be employed more extensively.</w:t>
            </w:r>
          </w:p>
        </w:tc>
      </w:tr>
      <w:tr w:rsidR="00B57578">
        <w:trPr>
          <w:trHeight w:val="522"/>
        </w:trPr>
        <w:tc>
          <w:tcPr>
            <w:tcW w:w="9286" w:type="dxa"/>
            <w:gridSpan w:val="4"/>
            <w:tcBorders>
              <w:top w:val="single" w:sz="4" w:space="0" w:color="663300"/>
              <w:bottom w:val="single" w:sz="4" w:space="0" w:color="663300"/>
            </w:tcBorders>
            <w:vAlign w:val="bottom"/>
          </w:tcPr>
          <w:p w:rsidR="00B57578" w:rsidRDefault="00DD58B1">
            <w:pPr>
              <w:ind w:firstLine="0"/>
              <w:jc w:val="left"/>
              <w:rPr>
                <w:rFonts w:ascii="Times New Roman" w:eastAsia="Times New Roman" w:hAnsi="Times New Roman" w:cs="Times New Roman"/>
                <w:i/>
                <w:iCs/>
              </w:rPr>
            </w:pPr>
            <w:r>
              <w:rPr>
                <w:rFonts w:ascii="Times New Roman" w:eastAsia="Times New Roman" w:hAnsi="Times New Roman" w:cs="Times New Roman"/>
                <w:b/>
                <w:bCs/>
                <w:i/>
                <w:iCs/>
                <w:sz w:val="24"/>
                <w:szCs w:val="24"/>
              </w:rPr>
              <w:t xml:space="preserve">Keywords: </w:t>
            </w:r>
            <w:r w:rsidR="0057507C">
              <w:rPr>
                <w:i/>
                <w:iCs/>
              </w:rPr>
              <w:t>Silk road, Cultural i</w:t>
            </w:r>
            <w:r>
              <w:rPr>
                <w:i/>
                <w:iCs/>
              </w:rPr>
              <w:t>nteraction</w:t>
            </w:r>
            <w:r w:rsidR="0057507C">
              <w:rPr>
                <w:i/>
                <w:iCs/>
              </w:rPr>
              <w:t>, Power and s</w:t>
            </w:r>
            <w:r>
              <w:rPr>
                <w:i/>
                <w:iCs/>
              </w:rPr>
              <w:t>trength, Transformation, Authority</w:t>
            </w:r>
          </w:p>
        </w:tc>
      </w:tr>
    </w:tbl>
    <w:p w:rsidR="00B57578" w:rsidRDefault="00B57578">
      <w:pPr>
        <w:pStyle w:val="Balk1"/>
        <w:rPr>
          <w:rFonts w:ascii="Times New Roman" w:eastAsia="Times New Roman" w:hAnsi="Times New Roman" w:cs="Times New Roman"/>
          <w:sz w:val="24"/>
          <w:szCs w:val="24"/>
        </w:rPr>
      </w:pPr>
    </w:p>
    <w:p w:rsidR="00B57578" w:rsidRDefault="00B57578"/>
    <w:p w:rsidR="00B57578" w:rsidRDefault="00B57578"/>
    <w:p w:rsidR="00B57578" w:rsidRDefault="00B57578"/>
    <w:p w:rsidR="00B57578" w:rsidRDefault="00B57578">
      <w:pPr>
        <w:pStyle w:val="Balk1"/>
        <w:rPr>
          <w:rFonts w:ascii="Times New Roman" w:eastAsia="Times New Roman" w:hAnsi="Times New Roman" w:cs="Times New Roman"/>
          <w:sz w:val="24"/>
          <w:szCs w:val="24"/>
        </w:rPr>
      </w:pPr>
    </w:p>
    <w:p w:rsidR="00B57578" w:rsidRDefault="00DD58B1">
      <w:pPr>
        <w:pStyle w:val="Balk1"/>
        <w:rPr>
          <w:rFonts w:ascii="Times New Roman" w:eastAsia="Times New Roman" w:hAnsi="Times New Roman" w:cs="Times New Roman"/>
          <w:sz w:val="24"/>
          <w:szCs w:val="24"/>
        </w:rPr>
      </w:pPr>
      <w:r>
        <w:rPr>
          <w:rFonts w:ascii="Times New Roman" w:eastAsia="Times New Roman" w:hAnsi="Times New Roman" w:cs="Times New Roman"/>
          <w:sz w:val="24"/>
          <w:szCs w:val="24"/>
        </w:rPr>
        <w:t>GİRİŞ</w:t>
      </w:r>
    </w:p>
    <w:p w:rsidR="00B57578" w:rsidRDefault="00DD58B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Türk kültüründe güç, kuvvet ve iktidar motifleri arkeolojik, yazılı ve sözlü eserlerde karşımıza çıkmaktadır. Özellikle Tengri, hükümdar, koç, kartal, ejder ve çintemani motifleriyle ifade edilen güç, kuvvet ve iktidar bize Türklerin sosyal ve kültürel hayatları ile ilgili de fikirler sunmaktadır. Türklerin geniş bir coğrafyaya yayılması ve farklı toplumlar ile etkileşim kurmaları sebepleriyle birçok hususta olduğu gibi güç ve iktidar motiflerind</w:t>
      </w:r>
      <w:r w:rsidR="00E108C5">
        <w:rPr>
          <w:rFonts w:ascii="Times New Roman" w:eastAsia="Times New Roman" w:hAnsi="Times New Roman" w:cs="Times New Roman"/>
          <w:sz w:val="24"/>
          <w:szCs w:val="24"/>
        </w:rPr>
        <w:t xml:space="preserve">e de değişiklikler yaşanmıştır. Buna bağlı olarak </w:t>
      </w:r>
      <w:r>
        <w:rPr>
          <w:rFonts w:ascii="Times New Roman" w:eastAsia="Times New Roman" w:hAnsi="Times New Roman" w:cs="Times New Roman"/>
          <w:sz w:val="24"/>
          <w:szCs w:val="24"/>
        </w:rPr>
        <w:t xml:space="preserve">Türk güç ve iktidar motiflerinin Türkistan coğrafyasından </w:t>
      </w:r>
      <w:r w:rsidR="00E108C5">
        <w:rPr>
          <w:rFonts w:ascii="Times New Roman" w:eastAsia="Times New Roman" w:hAnsi="Times New Roman" w:cs="Times New Roman"/>
          <w:sz w:val="24"/>
          <w:szCs w:val="24"/>
        </w:rPr>
        <w:t>Anadolu’ya yolculuğunu incelemenin</w:t>
      </w:r>
      <w:r>
        <w:rPr>
          <w:rFonts w:ascii="Times New Roman" w:eastAsia="Times New Roman" w:hAnsi="Times New Roman" w:cs="Times New Roman"/>
          <w:sz w:val="24"/>
          <w:szCs w:val="24"/>
        </w:rPr>
        <w:t xml:space="preserve"> hem Türklerin hem motifleri</w:t>
      </w:r>
      <w:r w:rsidR="00E108C5">
        <w:rPr>
          <w:rFonts w:ascii="Times New Roman" w:eastAsia="Times New Roman" w:hAnsi="Times New Roman" w:cs="Times New Roman"/>
          <w:sz w:val="24"/>
          <w:szCs w:val="24"/>
        </w:rPr>
        <w:t>n dönüşümüne dikkat çektiğini söylemek mümkündür.</w:t>
      </w:r>
    </w:p>
    <w:p w:rsidR="00B57578" w:rsidRDefault="00DD58B1">
      <w:pPr>
        <w:spacing w:line="360" w:lineRule="auto"/>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AMAÇ</w:t>
      </w:r>
    </w:p>
    <w:p w:rsidR="00B57578" w:rsidRDefault="00DD58B1">
      <w:pPr>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çalışmada Türklerin Türkistan coğrafyasında kullandığı güç, kuvvet ve iktidar motiflerinin Anadolu’ya gelişi ve Anadolu da nasıl ve ne anlamlarda kullanıldıkları incelenmeye çalışılacaktır. Motiflerin İslamiyet öncesi dönemde simgelediği anlam ve Anadolu'daki kullanımlarının değerlendirilmesi hedeflenmektedir. Böylece motiflerin geçirdiği değişim ve dönüşümlere değinilecektir. </w:t>
      </w:r>
    </w:p>
    <w:p w:rsidR="00B57578" w:rsidRDefault="00DD58B1">
      <w:pPr>
        <w:spacing w:line="360" w:lineRule="auto"/>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YÖNTEM</w:t>
      </w:r>
    </w:p>
    <w:p w:rsidR="00B57578" w:rsidRDefault="00DD58B1">
      <w:pPr>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Çalışmamızda güç, kuvvet ve iktidar motiflerinin Türkistan coğrafyasından Anadolu’ya yolculuğunun değerlendirilmesi için karşılaştırmalı tarih metodu kullanılacaktır. İlk olarak İslamiyet öncesi Türk devletlerinde kullanılan güç, kuvvet ve iktidar motifleri; daha sonra bu motiflerin Anadolu’da nasıl, ne sıklıkla ve ne anlamda kullanıldığı açıklanacaktır. Böylece motiflerin yolculuğu ve geçirdikleri değişim ortaya koyulmaya çalışılacaktır. </w:t>
      </w:r>
    </w:p>
    <w:p w:rsidR="00B57578" w:rsidRDefault="00DD58B1">
      <w:pPr>
        <w:spacing w:line="360" w:lineRule="auto"/>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BULGULAR</w:t>
      </w:r>
    </w:p>
    <w:p w:rsidR="00B57578" w:rsidRDefault="00DD58B1">
      <w:pPr>
        <w:spacing w:line="360" w:lineRule="auto"/>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Tengri, Kut ve Hutbe</w:t>
      </w:r>
    </w:p>
    <w:p w:rsidR="00B57578" w:rsidRDefault="00307D58">
      <w:pPr>
        <w:spacing w:line="36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İslamiyet Öncesi D</w:t>
      </w:r>
      <w:r w:rsidR="00DD58B1">
        <w:rPr>
          <w:rFonts w:ascii="Times New Roman" w:eastAsia="Times New Roman" w:hAnsi="Times New Roman" w:cs="Times New Roman"/>
          <w:sz w:val="24"/>
          <w:szCs w:val="24"/>
        </w:rPr>
        <w:t>önem</w:t>
      </w:r>
      <w:r>
        <w:rPr>
          <w:rFonts w:ascii="Times New Roman" w:eastAsia="Times New Roman" w:hAnsi="Times New Roman" w:cs="Times New Roman"/>
          <w:sz w:val="24"/>
          <w:szCs w:val="24"/>
        </w:rPr>
        <w:t>’</w:t>
      </w:r>
      <w:r w:rsidR="00DD58B1">
        <w:rPr>
          <w:rFonts w:ascii="Times New Roman" w:eastAsia="Times New Roman" w:hAnsi="Times New Roman" w:cs="Times New Roman"/>
          <w:sz w:val="24"/>
          <w:szCs w:val="24"/>
        </w:rPr>
        <w:t xml:space="preserve">de </w:t>
      </w:r>
      <w:r w:rsidR="00DD58B1">
        <w:rPr>
          <w:rFonts w:ascii="Times New Roman" w:eastAsia="Times New Roman" w:hAnsi="Times New Roman" w:cs="Times New Roman"/>
          <w:i/>
          <w:iCs/>
          <w:sz w:val="24"/>
          <w:szCs w:val="24"/>
        </w:rPr>
        <w:t>Tengri</w:t>
      </w:r>
      <w:r w:rsidR="00DD58B1">
        <w:rPr>
          <w:rFonts w:ascii="Times New Roman" w:eastAsia="Times New Roman" w:hAnsi="Times New Roman" w:cs="Times New Roman"/>
          <w:sz w:val="24"/>
          <w:szCs w:val="24"/>
        </w:rPr>
        <w:t xml:space="preserve"> (Tanrı), Türkler için en önemli güç, kuvvet ve iktidar sembolü olmuştur (Durmuş, 2018 s.</w:t>
      </w:r>
      <w:r>
        <w:rPr>
          <w:rFonts w:ascii="Times New Roman" w:eastAsia="Times New Roman" w:hAnsi="Times New Roman" w:cs="Times New Roman"/>
          <w:sz w:val="24"/>
          <w:szCs w:val="24"/>
        </w:rPr>
        <w:t xml:space="preserve"> 281). Tanrı ezelî ve ebedî</w:t>
      </w:r>
      <w:r w:rsidR="00DD58B1">
        <w:rPr>
          <w:rFonts w:ascii="Times New Roman" w:eastAsia="Times New Roman" w:hAnsi="Times New Roman" w:cs="Times New Roman"/>
          <w:sz w:val="24"/>
          <w:szCs w:val="24"/>
        </w:rPr>
        <w:t xml:space="preserve"> olup mutlak otorite sahibidir ve Tanrı ne isterse o gerçekleşmektedir (Durmuş, 2018, s.</w:t>
      </w:r>
      <w:r>
        <w:rPr>
          <w:rFonts w:ascii="Times New Roman" w:eastAsia="Times New Roman" w:hAnsi="Times New Roman" w:cs="Times New Roman"/>
          <w:sz w:val="24"/>
          <w:szCs w:val="24"/>
        </w:rPr>
        <w:t xml:space="preserve"> </w:t>
      </w:r>
      <w:r w:rsidR="00DD58B1">
        <w:rPr>
          <w:rFonts w:ascii="Times New Roman" w:eastAsia="Times New Roman" w:hAnsi="Times New Roman" w:cs="Times New Roman"/>
          <w:sz w:val="24"/>
          <w:szCs w:val="24"/>
        </w:rPr>
        <w:t>285). Türklerde iktidar ilahi temellere dayandığı gibi,</w:t>
      </w:r>
      <w:r w:rsidR="008E2F60">
        <w:rPr>
          <w:rFonts w:ascii="Times New Roman" w:eastAsia="Times New Roman" w:hAnsi="Times New Roman" w:cs="Times New Roman"/>
          <w:sz w:val="24"/>
          <w:szCs w:val="24"/>
        </w:rPr>
        <w:t xml:space="preserve"> Tanrı yeryüzündeki iktidarını K</w:t>
      </w:r>
      <w:r w:rsidR="00DD58B1">
        <w:rPr>
          <w:rFonts w:ascii="Times New Roman" w:eastAsia="Times New Roman" w:hAnsi="Times New Roman" w:cs="Times New Roman"/>
          <w:sz w:val="24"/>
          <w:szCs w:val="24"/>
        </w:rPr>
        <w:t>ağanlar vasıtas</w:t>
      </w:r>
      <w:r w:rsidR="008E2F60">
        <w:rPr>
          <w:rFonts w:ascii="Times New Roman" w:eastAsia="Times New Roman" w:hAnsi="Times New Roman" w:cs="Times New Roman"/>
          <w:sz w:val="24"/>
          <w:szCs w:val="24"/>
        </w:rPr>
        <w:t>ıyla uygulardı. Tanrı’nın Türk K</w:t>
      </w:r>
      <w:r w:rsidR="00DD58B1">
        <w:rPr>
          <w:rFonts w:ascii="Times New Roman" w:eastAsia="Times New Roman" w:hAnsi="Times New Roman" w:cs="Times New Roman"/>
          <w:sz w:val="24"/>
          <w:szCs w:val="24"/>
        </w:rPr>
        <w:t xml:space="preserve">ağanlarına bahşettiği bu yönetim meşruiyetini veya gücünü </w:t>
      </w:r>
      <w:r w:rsidR="00DD58B1">
        <w:rPr>
          <w:rFonts w:ascii="Times New Roman" w:eastAsia="Times New Roman" w:hAnsi="Times New Roman" w:cs="Times New Roman"/>
          <w:i/>
          <w:iCs/>
          <w:sz w:val="24"/>
          <w:szCs w:val="24"/>
        </w:rPr>
        <w:t>kut</w:t>
      </w:r>
      <w:r w:rsidR="00DD58B1">
        <w:rPr>
          <w:rFonts w:ascii="Times New Roman" w:eastAsia="Times New Roman" w:hAnsi="Times New Roman" w:cs="Times New Roman"/>
          <w:sz w:val="24"/>
          <w:szCs w:val="24"/>
        </w:rPr>
        <w:t xml:space="preserve"> olarak adlandırabiliriz. Kut, Türkler arasında bir kişinin Tanrı tarafından onaylandığının ve iktidarın meşru olduğunun kanıtıdır (</w:t>
      </w:r>
      <w:r>
        <w:rPr>
          <w:rFonts w:ascii="Times New Roman" w:eastAsia="Times New Roman" w:hAnsi="Times New Roman" w:cs="Times New Roman"/>
          <w:sz w:val="24"/>
          <w:szCs w:val="24"/>
        </w:rPr>
        <w:t xml:space="preserve">Durmuş, 2018, s. 151; </w:t>
      </w:r>
      <w:r w:rsidR="00DD58B1">
        <w:rPr>
          <w:rFonts w:ascii="Times New Roman" w:eastAsia="Times New Roman" w:hAnsi="Times New Roman" w:cs="Times New Roman"/>
          <w:sz w:val="24"/>
          <w:szCs w:val="24"/>
        </w:rPr>
        <w:t>Koca, 2016, s.</w:t>
      </w:r>
      <w:r>
        <w:rPr>
          <w:rFonts w:ascii="Times New Roman" w:eastAsia="Times New Roman" w:hAnsi="Times New Roman" w:cs="Times New Roman"/>
          <w:sz w:val="24"/>
          <w:szCs w:val="24"/>
        </w:rPr>
        <w:t xml:space="preserve"> </w:t>
      </w:r>
      <w:r w:rsidR="00DD58B1">
        <w:rPr>
          <w:rFonts w:ascii="Times New Roman" w:eastAsia="Times New Roman" w:hAnsi="Times New Roman" w:cs="Times New Roman"/>
          <w:sz w:val="24"/>
          <w:szCs w:val="24"/>
        </w:rPr>
        <w:t>91-95; Günay &amp;</w:t>
      </w:r>
      <w:r>
        <w:rPr>
          <w:rFonts w:ascii="Times New Roman" w:eastAsia="Times New Roman" w:hAnsi="Times New Roman" w:cs="Times New Roman"/>
          <w:sz w:val="24"/>
          <w:szCs w:val="24"/>
        </w:rPr>
        <w:t xml:space="preserve"> </w:t>
      </w:r>
      <w:r w:rsidR="00DD58B1">
        <w:rPr>
          <w:rFonts w:ascii="Times New Roman" w:eastAsia="Times New Roman" w:hAnsi="Times New Roman" w:cs="Times New Roman"/>
          <w:sz w:val="24"/>
          <w:szCs w:val="24"/>
        </w:rPr>
        <w:t>Güngör, 2018, s.</w:t>
      </w:r>
      <w:r>
        <w:rPr>
          <w:rFonts w:ascii="Times New Roman" w:eastAsia="Times New Roman" w:hAnsi="Times New Roman" w:cs="Times New Roman"/>
          <w:sz w:val="24"/>
          <w:szCs w:val="24"/>
        </w:rPr>
        <w:t xml:space="preserve"> </w:t>
      </w:r>
      <w:r w:rsidR="00DD58B1">
        <w:rPr>
          <w:rFonts w:ascii="Times New Roman" w:eastAsia="Times New Roman" w:hAnsi="Times New Roman" w:cs="Times New Roman"/>
          <w:sz w:val="24"/>
          <w:szCs w:val="24"/>
        </w:rPr>
        <w:t>51,</w:t>
      </w:r>
      <w:r>
        <w:rPr>
          <w:rFonts w:ascii="Times New Roman" w:eastAsia="Times New Roman" w:hAnsi="Times New Roman" w:cs="Times New Roman"/>
          <w:sz w:val="24"/>
          <w:szCs w:val="24"/>
        </w:rPr>
        <w:t xml:space="preserve"> </w:t>
      </w:r>
      <w:r w:rsidR="00DD58B1">
        <w:rPr>
          <w:rFonts w:ascii="Times New Roman" w:eastAsia="Times New Roman" w:hAnsi="Times New Roman" w:cs="Times New Roman"/>
          <w:sz w:val="24"/>
          <w:szCs w:val="24"/>
        </w:rPr>
        <w:t xml:space="preserve">53). </w:t>
      </w:r>
      <w:r w:rsidR="00DD58B1">
        <w:rPr>
          <w:rFonts w:ascii="Times New Roman" w:eastAsia="Times New Roman" w:hAnsi="Times New Roman" w:cs="Times New Roman"/>
          <w:i/>
          <w:iCs/>
          <w:sz w:val="24"/>
          <w:szCs w:val="24"/>
        </w:rPr>
        <w:t xml:space="preserve">Bilge </w:t>
      </w:r>
      <w:r w:rsidR="00DD58B1">
        <w:rPr>
          <w:rFonts w:ascii="Times New Roman" w:eastAsia="Times New Roman" w:hAnsi="Times New Roman" w:cs="Times New Roman"/>
          <w:i/>
          <w:iCs/>
          <w:sz w:val="24"/>
          <w:szCs w:val="24"/>
        </w:rPr>
        <w:lastRenderedPageBreak/>
        <w:t>Kağan Yazıtı</w:t>
      </w:r>
      <w:r w:rsidR="00DD58B1">
        <w:rPr>
          <w:rFonts w:ascii="Times New Roman" w:eastAsia="Times New Roman" w:hAnsi="Times New Roman" w:cs="Times New Roman"/>
          <w:sz w:val="24"/>
          <w:szCs w:val="24"/>
        </w:rPr>
        <w:t xml:space="preserve">’nda Tanrı’nın kişiye kut vermesi, “Tanrı lütufkâr olduğu için, kendimin (de) talihim olduğu için, (hakan olarak) tahta oturdum” (Tekin, 2019, s.55) şeklinde ifade edilmiştir. </w:t>
      </w:r>
    </w:p>
    <w:p w:rsidR="00B57578" w:rsidRDefault="00DD58B1">
      <w:pPr>
        <w:spacing w:line="360" w:lineRule="auto"/>
        <w:ind w:firstLine="36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Orhun Abideleri</w:t>
      </w:r>
      <w:r>
        <w:rPr>
          <w:rFonts w:ascii="Times New Roman" w:eastAsia="Times New Roman" w:hAnsi="Times New Roman" w:cs="Times New Roman"/>
          <w:sz w:val="24"/>
          <w:szCs w:val="24"/>
        </w:rPr>
        <w:t xml:space="preserve">’nde yer alan bilgilere göre yönetme gücünü ve iktidarı yani kutu yalnızca Tanrı verebilirdi. Eğer Tanrı kut verirse kişi düşmanını yenebilir ve zorlukların üstünden gelebilirdi. Bu durum </w:t>
      </w:r>
      <w:r>
        <w:rPr>
          <w:rFonts w:ascii="Times New Roman" w:eastAsia="Times New Roman" w:hAnsi="Times New Roman" w:cs="Times New Roman"/>
          <w:i/>
          <w:iCs/>
          <w:sz w:val="24"/>
          <w:szCs w:val="24"/>
        </w:rPr>
        <w:t>Kül Tigin Abidesi’</w:t>
      </w:r>
      <w:r>
        <w:rPr>
          <w:rFonts w:ascii="Times New Roman" w:eastAsia="Times New Roman" w:hAnsi="Times New Roman" w:cs="Times New Roman"/>
          <w:sz w:val="24"/>
          <w:szCs w:val="24"/>
        </w:rPr>
        <w:t xml:space="preserve">nde şu şekilde yer almaktadır: “Tanrı (öyle) buyurduğu için, devletliyi devletsiz bırakmış, hakanlıyı hakansız bırakmış, düşmanları bağımlı kılmış, dizlilere diz çöktürmüş, başlılara baş eğdirmiş” (Tekin, 2019, s.41). </w:t>
      </w:r>
      <w:r>
        <w:rPr>
          <w:rFonts w:ascii="Times New Roman" w:eastAsia="Times New Roman" w:hAnsi="Times New Roman" w:cs="Times New Roman"/>
          <w:i/>
          <w:iCs/>
          <w:sz w:val="24"/>
          <w:szCs w:val="24"/>
        </w:rPr>
        <w:t>Kül Tigin Abidesi</w:t>
      </w:r>
      <w:r>
        <w:rPr>
          <w:rFonts w:ascii="Times New Roman" w:eastAsia="Times New Roman" w:hAnsi="Times New Roman" w:cs="Times New Roman"/>
          <w:sz w:val="24"/>
          <w:szCs w:val="24"/>
        </w:rPr>
        <w:t>’nde Tanrı’nın Türklerin kaderini tayin etmesine dair örneğe de rastlanmaktadır: “Yukarıdaki Türk Tanrısı (ve) Türk kutsal yerve su (ruhları) şöyle yapmıştır: Türk halkı yok olmasın diye, halk olsun diye, babam İlteriş Hakanı (ve) annem İlbilge Hatun</w:t>
      </w:r>
      <w:r w:rsidR="00307D58">
        <w:rPr>
          <w:rFonts w:ascii="Times New Roman" w:eastAsia="Times New Roman" w:hAnsi="Times New Roman" w:cs="Times New Roman"/>
          <w:sz w:val="24"/>
          <w:szCs w:val="24"/>
        </w:rPr>
        <w:t>’</w:t>
      </w:r>
      <w:r>
        <w:rPr>
          <w:rFonts w:ascii="Times New Roman" w:eastAsia="Times New Roman" w:hAnsi="Times New Roman" w:cs="Times New Roman"/>
          <w:sz w:val="24"/>
          <w:szCs w:val="24"/>
        </w:rPr>
        <w:t>u göğün tepesinden tutup (daha) yükseğe kaldırmışlar muhakkak” (Tekin, 2019, s.</w:t>
      </w:r>
      <w:r w:rsidR="00773FC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41). </w:t>
      </w:r>
    </w:p>
    <w:p w:rsidR="00B57578" w:rsidRDefault="00DD58B1">
      <w:pPr>
        <w:spacing w:line="36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Türklerde Kut ve Tanrı inancının sadece Göktürkler ile sınırlı kalmadığını Uygurlarda da devam ettiğini </w:t>
      </w:r>
      <w:r>
        <w:rPr>
          <w:rFonts w:ascii="Times New Roman" w:eastAsia="Times New Roman" w:hAnsi="Times New Roman" w:cs="Times New Roman"/>
          <w:i/>
          <w:iCs/>
          <w:sz w:val="24"/>
          <w:szCs w:val="24"/>
        </w:rPr>
        <w:t>Kara Balgasun Yazıtları</w:t>
      </w:r>
      <w:r>
        <w:rPr>
          <w:rFonts w:ascii="Times New Roman" w:eastAsia="Times New Roman" w:hAnsi="Times New Roman" w:cs="Times New Roman"/>
          <w:sz w:val="24"/>
          <w:szCs w:val="24"/>
        </w:rPr>
        <w:t xml:space="preserve">’nda görmekteyiz. Tanrı’dan buyruk alanlarla ilgili </w:t>
      </w:r>
      <w:r>
        <w:rPr>
          <w:rFonts w:ascii="Times New Roman" w:eastAsia="Times New Roman" w:hAnsi="Times New Roman" w:cs="Times New Roman"/>
          <w:i/>
          <w:iCs/>
          <w:sz w:val="24"/>
          <w:szCs w:val="24"/>
        </w:rPr>
        <w:t>Kara Balgasun I Yazıtı</w:t>
      </w:r>
      <w:r>
        <w:rPr>
          <w:rFonts w:ascii="Times New Roman" w:eastAsia="Times New Roman" w:hAnsi="Times New Roman" w:cs="Times New Roman"/>
          <w:sz w:val="24"/>
          <w:szCs w:val="24"/>
        </w:rPr>
        <w:t xml:space="preserve">’nda </w:t>
      </w:r>
      <w:r w:rsidR="00307D58">
        <w:rPr>
          <w:rFonts w:ascii="Times New Roman" w:eastAsia="Times New Roman" w:hAnsi="Times New Roman" w:cs="Times New Roman"/>
          <w:sz w:val="24"/>
          <w:szCs w:val="24"/>
        </w:rPr>
        <w:t>“Tanrıdan buyruk alan bir oymak</w:t>
      </w:r>
      <w:r>
        <w:rPr>
          <w:rFonts w:ascii="Times New Roman" w:eastAsia="Times New Roman" w:hAnsi="Times New Roman" w:cs="Times New Roman"/>
          <w:sz w:val="24"/>
          <w:szCs w:val="24"/>
        </w:rPr>
        <w:t>başı bütün dünyayı kendi çevresine toplar, fazileti ile (göz) kamaştırıcı bir biçimde ışıklandırır ve dört taraftan ona sığınırlar” (Ölmez, 2018, s.</w:t>
      </w:r>
      <w:r w:rsidR="00307D5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43) satırları yer alır. </w:t>
      </w:r>
      <w:r>
        <w:rPr>
          <w:rFonts w:ascii="Times New Roman" w:eastAsia="Times New Roman" w:hAnsi="Times New Roman" w:cs="Times New Roman"/>
          <w:i/>
          <w:iCs/>
          <w:sz w:val="24"/>
          <w:szCs w:val="24"/>
        </w:rPr>
        <w:t>Kara Balgasun I Yazıtı</w:t>
      </w:r>
      <w:r w:rsidR="008E2F60">
        <w:rPr>
          <w:rFonts w:ascii="Times New Roman" w:eastAsia="Times New Roman" w:hAnsi="Times New Roman" w:cs="Times New Roman"/>
          <w:sz w:val="24"/>
          <w:szCs w:val="24"/>
        </w:rPr>
        <w:t>’nda Uygur K</w:t>
      </w:r>
      <w:r>
        <w:rPr>
          <w:rFonts w:ascii="Times New Roman" w:eastAsia="Times New Roman" w:hAnsi="Times New Roman" w:cs="Times New Roman"/>
          <w:sz w:val="24"/>
          <w:szCs w:val="24"/>
        </w:rPr>
        <w:t>ağanlarının ünvanları dikkat çekmektedir: “Tengride Kut Bulmuş Küçlüg Bilge Kağan” (Ölmez, 2018, s.</w:t>
      </w:r>
      <w:r w:rsidR="00773FC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46).  </w:t>
      </w:r>
      <w:r>
        <w:rPr>
          <w:rFonts w:ascii="Times New Roman" w:eastAsia="Times New Roman" w:hAnsi="Times New Roman" w:cs="Times New Roman"/>
          <w:sz w:val="24"/>
          <w:szCs w:val="24"/>
        </w:rPr>
        <w:tab/>
      </w:r>
    </w:p>
    <w:p w:rsidR="00B57578" w:rsidRDefault="00DD58B1">
      <w:pPr>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İslamiyet Öncesi Türk Devletl</w:t>
      </w:r>
      <w:r w:rsidR="00307D58">
        <w:rPr>
          <w:rFonts w:ascii="Times New Roman" w:eastAsia="Times New Roman" w:hAnsi="Times New Roman" w:cs="Times New Roman"/>
          <w:sz w:val="24"/>
          <w:szCs w:val="24"/>
        </w:rPr>
        <w:t>erinde Kağanın iktidarının ve hâ</w:t>
      </w:r>
      <w:r>
        <w:rPr>
          <w:rFonts w:ascii="Times New Roman" w:eastAsia="Times New Roman" w:hAnsi="Times New Roman" w:cs="Times New Roman"/>
          <w:sz w:val="24"/>
          <w:szCs w:val="24"/>
        </w:rPr>
        <w:t>kimiyetinin göster</w:t>
      </w:r>
      <w:r w:rsidR="00773FC7">
        <w:rPr>
          <w:rFonts w:ascii="Times New Roman" w:eastAsia="Times New Roman" w:hAnsi="Times New Roman" w:cs="Times New Roman"/>
          <w:sz w:val="24"/>
          <w:szCs w:val="24"/>
        </w:rPr>
        <w:t>gesi olarak ünvan, davul, tuğ (s</w:t>
      </w:r>
      <w:r>
        <w:rPr>
          <w:rFonts w:ascii="Times New Roman" w:eastAsia="Times New Roman" w:hAnsi="Times New Roman" w:cs="Times New Roman"/>
          <w:sz w:val="24"/>
          <w:szCs w:val="24"/>
        </w:rPr>
        <w:t>ancak), ok-yay, otağ, taht, ordu, yarlıg, toy, tamga (mühür) gibi hükümdarlık alametleri bulunurdu (</w:t>
      </w:r>
      <w:r w:rsidR="00907155">
        <w:rPr>
          <w:rFonts w:ascii="Times New Roman" w:eastAsia="Times New Roman" w:hAnsi="Times New Roman" w:cs="Times New Roman"/>
          <w:sz w:val="24"/>
          <w:szCs w:val="24"/>
        </w:rPr>
        <w:t xml:space="preserve">Anbarlı Bozatay, 2019, s. 86-87; </w:t>
      </w:r>
      <w:r>
        <w:rPr>
          <w:rFonts w:ascii="Times New Roman" w:eastAsia="Times New Roman" w:hAnsi="Times New Roman" w:cs="Times New Roman"/>
          <w:sz w:val="24"/>
          <w:szCs w:val="24"/>
        </w:rPr>
        <w:t>Koca, 2016, s.</w:t>
      </w:r>
      <w:r w:rsidR="009071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95). Bu semboller kağanın iktidarını ve meşruiyetini göstermektedir (</w:t>
      </w:r>
      <w:r w:rsidR="00907155">
        <w:rPr>
          <w:rFonts w:ascii="Times New Roman" w:eastAsia="Times New Roman" w:hAnsi="Times New Roman" w:cs="Times New Roman"/>
          <w:sz w:val="24"/>
          <w:szCs w:val="24"/>
        </w:rPr>
        <w:t xml:space="preserve">Anbarlı Bozatay, 2019, s. 83-88; </w:t>
      </w:r>
      <w:r>
        <w:rPr>
          <w:rFonts w:ascii="Times New Roman" w:eastAsia="Times New Roman" w:hAnsi="Times New Roman" w:cs="Times New Roman"/>
          <w:sz w:val="24"/>
          <w:szCs w:val="24"/>
        </w:rPr>
        <w:t>Koca, 2016, s.</w:t>
      </w:r>
      <w:r w:rsidR="009071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95-96). </w:t>
      </w:r>
    </w:p>
    <w:p w:rsidR="00B57578" w:rsidRDefault="00DD58B1">
      <w:pPr>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Türk devletlerinde toy çok ö</w:t>
      </w:r>
      <w:r w:rsidR="00447748">
        <w:rPr>
          <w:rFonts w:ascii="Times New Roman" w:eastAsia="Times New Roman" w:hAnsi="Times New Roman" w:cs="Times New Roman"/>
          <w:sz w:val="24"/>
          <w:szCs w:val="24"/>
        </w:rPr>
        <w:t>nemli bir iktidar göstergesidir.</w:t>
      </w:r>
      <w:r>
        <w:rPr>
          <w:rFonts w:ascii="Times New Roman" w:eastAsia="Times New Roman" w:hAnsi="Times New Roman" w:cs="Times New Roman"/>
          <w:sz w:val="24"/>
          <w:szCs w:val="24"/>
        </w:rPr>
        <w:t xml:space="preserve"> Hükümdarın </w:t>
      </w:r>
      <w:r w:rsidR="00447748">
        <w:rPr>
          <w:rFonts w:ascii="Times New Roman" w:eastAsia="Times New Roman" w:hAnsi="Times New Roman" w:cs="Times New Roman"/>
          <w:sz w:val="24"/>
          <w:szCs w:val="24"/>
        </w:rPr>
        <w:t>toy düzenlemesi iktidarını ve hâ</w:t>
      </w:r>
      <w:r>
        <w:rPr>
          <w:rFonts w:ascii="Times New Roman" w:eastAsia="Times New Roman" w:hAnsi="Times New Roman" w:cs="Times New Roman"/>
          <w:sz w:val="24"/>
          <w:szCs w:val="24"/>
        </w:rPr>
        <w:t>kimiyetini ilan etmek ve pekiştirmek için bir araç olmuştur. Hükümdarın toyuna icabet etmek iktidarı tanımak anlamına gelirken aksi durum isyan veya itaatsizlik olarak kabul ediliyordu (Koca, 2016, s.</w:t>
      </w:r>
      <w:r w:rsidR="001A55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96-97). Bu sebeple toylard</w:t>
      </w:r>
      <w:r w:rsidR="001A553E">
        <w:rPr>
          <w:rFonts w:ascii="Times New Roman" w:eastAsia="Times New Roman" w:hAnsi="Times New Roman" w:cs="Times New Roman"/>
          <w:sz w:val="24"/>
          <w:szCs w:val="24"/>
        </w:rPr>
        <w:t>a orun ve ülüş usulünce herkes K</w:t>
      </w:r>
      <w:r>
        <w:rPr>
          <w:rFonts w:ascii="Times New Roman" w:eastAsia="Times New Roman" w:hAnsi="Times New Roman" w:cs="Times New Roman"/>
          <w:sz w:val="24"/>
          <w:szCs w:val="24"/>
        </w:rPr>
        <w:t>ağanın yanında sıralanır (İnan, 1987, s.</w:t>
      </w:r>
      <w:r w:rsidR="001A55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242-243); eğlence ve yemek vasıtasıyl</w:t>
      </w:r>
      <w:r w:rsidR="001A553E">
        <w:rPr>
          <w:rFonts w:ascii="Times New Roman" w:eastAsia="Times New Roman" w:hAnsi="Times New Roman" w:cs="Times New Roman"/>
          <w:sz w:val="24"/>
          <w:szCs w:val="24"/>
        </w:rPr>
        <w:t>a bağların kuvvetlendirilir ve H</w:t>
      </w:r>
      <w:r>
        <w:rPr>
          <w:rFonts w:ascii="Times New Roman" w:eastAsia="Times New Roman" w:hAnsi="Times New Roman" w:cs="Times New Roman"/>
          <w:sz w:val="24"/>
          <w:szCs w:val="24"/>
        </w:rPr>
        <w:t>akanın iktidarını yansıtırdı (Koca, 2016, s.</w:t>
      </w:r>
      <w:r w:rsidR="001A55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97; Ögel, 2017, s.</w:t>
      </w:r>
      <w:r w:rsidR="001A55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110-111, 113, 121-123). Bu sebeplerle toy İslamiyet öncesi Türk devletleri için bir güç, kuvvet, iktidar motifi olarak kabul edilebilir. </w:t>
      </w:r>
    </w:p>
    <w:p w:rsidR="00B57578" w:rsidRDefault="00DD58B1">
      <w:pPr>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İslamiyet’in kabulünden sonra ise Türk Devletlerinde meşruiyetin sağlaması amacıyla adına hutbe okutup sikke bastırma, hil’at-tırâz, nevbet, çetr, saray, taht, tac, altın kemer ve toka, altın kabzalı kılıç elde gitme gibi semboller iktidar göstergesi olarak kullanılmıştır (Anbarlı Bozatay, 2019, s.</w:t>
      </w:r>
      <w:r w:rsidR="004618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8</w:t>
      </w:r>
      <w:r w:rsidR="00461863">
        <w:rPr>
          <w:rFonts w:ascii="Times New Roman" w:eastAsia="Times New Roman" w:hAnsi="Times New Roman" w:cs="Times New Roman"/>
          <w:sz w:val="24"/>
          <w:szCs w:val="24"/>
        </w:rPr>
        <w:t>5). Abbasi halifesinin verdiği ü</w:t>
      </w:r>
      <w:r>
        <w:rPr>
          <w:rFonts w:ascii="Times New Roman" w:eastAsia="Times New Roman" w:hAnsi="Times New Roman" w:cs="Times New Roman"/>
          <w:sz w:val="24"/>
          <w:szCs w:val="24"/>
        </w:rPr>
        <w:t>nvan ve hutbe meşruiyetin göstergesi olduğu için ilk Türk-İslam devletlerinde Abbasi halifelerinden onay almak ve adın</w:t>
      </w:r>
      <w:r w:rsidR="00461863">
        <w:rPr>
          <w:rFonts w:ascii="Times New Roman" w:eastAsia="Times New Roman" w:hAnsi="Times New Roman" w:cs="Times New Roman"/>
          <w:sz w:val="24"/>
          <w:szCs w:val="24"/>
        </w:rPr>
        <w:t>a hutbe okutturmak çok önemlidir</w:t>
      </w:r>
      <w:r>
        <w:rPr>
          <w:rFonts w:ascii="Times New Roman" w:eastAsia="Times New Roman" w:hAnsi="Times New Roman" w:cs="Times New Roman"/>
          <w:sz w:val="24"/>
          <w:szCs w:val="24"/>
        </w:rPr>
        <w:t xml:space="preserve"> (Anbarlı Bozatay, 2019, s.</w:t>
      </w:r>
      <w:r w:rsidR="004618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85-86).</w:t>
      </w:r>
      <w:r>
        <w:rPr>
          <w:rFonts w:ascii="Times New Roman" w:eastAsia="Times New Roman" w:hAnsi="Times New Roman" w:cs="Times New Roman"/>
          <w:sz w:val="24"/>
          <w:szCs w:val="24"/>
        </w:rPr>
        <w:tab/>
      </w:r>
    </w:p>
    <w:p w:rsidR="00B57578" w:rsidRDefault="00DD58B1">
      <w:pPr>
        <w:spacing w:line="360" w:lineRule="auto"/>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Koç Motifi</w:t>
      </w:r>
    </w:p>
    <w:p w:rsidR="00B57578" w:rsidRDefault="00DD58B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Türklerde koç motifi; güç, kuvvet ve iktidarı sembolize etmek için sıkl</w:t>
      </w:r>
      <w:r w:rsidR="00461863">
        <w:rPr>
          <w:rFonts w:ascii="Times New Roman" w:eastAsia="Times New Roman" w:hAnsi="Times New Roman" w:cs="Times New Roman"/>
          <w:sz w:val="24"/>
          <w:szCs w:val="24"/>
        </w:rPr>
        <w:t>ıkla kullanılmıştır. İslamiyet Öncesi D</w:t>
      </w:r>
      <w:r>
        <w:rPr>
          <w:rFonts w:ascii="Times New Roman" w:eastAsia="Times New Roman" w:hAnsi="Times New Roman" w:cs="Times New Roman"/>
          <w:sz w:val="24"/>
          <w:szCs w:val="24"/>
        </w:rPr>
        <w:t>önem</w:t>
      </w:r>
      <w:r w:rsidR="00461863">
        <w:rPr>
          <w:rFonts w:ascii="Times New Roman" w:eastAsia="Times New Roman" w:hAnsi="Times New Roman" w:cs="Times New Roman"/>
          <w:sz w:val="24"/>
          <w:szCs w:val="24"/>
        </w:rPr>
        <w:t>’</w:t>
      </w:r>
      <w:r>
        <w:rPr>
          <w:rFonts w:ascii="Times New Roman" w:eastAsia="Times New Roman" w:hAnsi="Times New Roman" w:cs="Times New Roman"/>
          <w:sz w:val="24"/>
          <w:szCs w:val="24"/>
        </w:rPr>
        <w:t>de Türkler törenlerde tanrılara beyaz koç ve koyun (</w:t>
      </w:r>
      <w:r w:rsidR="00461863">
        <w:rPr>
          <w:rFonts w:ascii="Times New Roman" w:eastAsia="Times New Roman" w:hAnsi="Times New Roman" w:cs="Times New Roman"/>
          <w:sz w:val="24"/>
          <w:szCs w:val="24"/>
        </w:rPr>
        <w:t xml:space="preserve">Çoruhlu, 2002, s. 150; </w:t>
      </w:r>
      <w:r>
        <w:rPr>
          <w:rFonts w:ascii="Times New Roman" w:eastAsia="Times New Roman" w:hAnsi="Times New Roman" w:cs="Times New Roman"/>
          <w:sz w:val="24"/>
          <w:szCs w:val="24"/>
        </w:rPr>
        <w:t>Esin, 1978, s.</w:t>
      </w:r>
      <w:r w:rsidR="004618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73, 101, 104) bilhassa daha kutsal olduğu için kurban ederlerdi erkek hayvan kurban verirdi (Ögel, 1995, s.</w:t>
      </w:r>
      <w:r w:rsidR="004618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546). Alplık, yiğitlik ve kahramanlık ile oldukça ilişkili olan koç motifi bir kişinin veya hayvanın gücünü ve kuvvetini ifade etmek için kullanılmıştır. Örneğin, </w:t>
      </w:r>
      <w:r>
        <w:rPr>
          <w:rFonts w:ascii="Times New Roman" w:eastAsia="Times New Roman" w:hAnsi="Times New Roman" w:cs="Times New Roman"/>
          <w:i/>
          <w:iCs/>
          <w:sz w:val="24"/>
          <w:szCs w:val="24"/>
        </w:rPr>
        <w:t>Dede Korkut Hikâyeleri’</w:t>
      </w:r>
      <w:r>
        <w:rPr>
          <w:rFonts w:ascii="Times New Roman" w:eastAsia="Times New Roman" w:hAnsi="Times New Roman" w:cs="Times New Roman"/>
          <w:sz w:val="24"/>
          <w:szCs w:val="24"/>
        </w:rPr>
        <w:t xml:space="preserve">nde kahramanlığın ve gücün ifade etmesi için erkeklere ve yoldaşları atlara </w:t>
      </w:r>
      <w:r>
        <w:rPr>
          <w:rFonts w:ascii="Times New Roman" w:eastAsia="Times New Roman" w:hAnsi="Times New Roman" w:cs="Times New Roman"/>
          <w:i/>
          <w:iCs/>
          <w:sz w:val="24"/>
          <w:szCs w:val="24"/>
        </w:rPr>
        <w:t>koç</w:t>
      </w:r>
      <w:r>
        <w:rPr>
          <w:rFonts w:ascii="Times New Roman" w:eastAsia="Times New Roman" w:hAnsi="Times New Roman" w:cs="Times New Roman"/>
          <w:sz w:val="24"/>
          <w:szCs w:val="24"/>
        </w:rPr>
        <w:t xml:space="preserve"> ve </w:t>
      </w:r>
      <w:r>
        <w:rPr>
          <w:rFonts w:ascii="Times New Roman" w:eastAsia="Times New Roman" w:hAnsi="Times New Roman" w:cs="Times New Roman"/>
          <w:i/>
          <w:iCs/>
          <w:sz w:val="24"/>
          <w:szCs w:val="24"/>
        </w:rPr>
        <w:t>kara koç</w:t>
      </w:r>
      <w:r>
        <w:rPr>
          <w:rFonts w:ascii="Times New Roman" w:eastAsia="Times New Roman" w:hAnsi="Times New Roman" w:cs="Times New Roman"/>
          <w:sz w:val="24"/>
          <w:szCs w:val="24"/>
        </w:rPr>
        <w:t xml:space="preserve"> denilmiştir (Ergin, 1969, s.</w:t>
      </w:r>
      <w:r w:rsidR="004618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36, 51, 56,</w:t>
      </w:r>
      <w:r w:rsidR="00461863">
        <w:rPr>
          <w:rFonts w:ascii="Times New Roman" w:eastAsia="Times New Roman" w:hAnsi="Times New Roman" w:cs="Times New Roman"/>
          <w:sz w:val="24"/>
          <w:szCs w:val="24"/>
        </w:rPr>
        <w:t xml:space="preserve"> 62, 74, 104). Her ne kadar dinî</w:t>
      </w:r>
      <w:r>
        <w:rPr>
          <w:rFonts w:ascii="Times New Roman" w:eastAsia="Times New Roman" w:hAnsi="Times New Roman" w:cs="Times New Roman"/>
          <w:sz w:val="24"/>
          <w:szCs w:val="24"/>
        </w:rPr>
        <w:t xml:space="preserve"> törenlerde koyun ve keçi kurban edilse de koç kadar güç ve kuvvet ile ilişkili görülmemişlerdir (Çoruhlu, 2002, s.</w:t>
      </w:r>
      <w:r w:rsidR="004618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151). Örneğin; </w:t>
      </w:r>
      <w:r>
        <w:rPr>
          <w:rFonts w:ascii="Times New Roman" w:eastAsia="Times New Roman" w:hAnsi="Times New Roman" w:cs="Times New Roman"/>
          <w:i/>
          <w:iCs/>
          <w:sz w:val="24"/>
          <w:szCs w:val="24"/>
        </w:rPr>
        <w:t>Bilge Kağan Abidesi</w:t>
      </w:r>
      <w:r>
        <w:rPr>
          <w:rFonts w:ascii="Times New Roman" w:eastAsia="Times New Roman" w:hAnsi="Times New Roman" w:cs="Times New Roman"/>
          <w:sz w:val="24"/>
          <w:szCs w:val="24"/>
        </w:rPr>
        <w:t>’nde babasının savaştığı düşman ordusunun askerleri koyuna benzetilmiş ve telef oldukları nakledilmiştir (Tekin, 2019, s.</w:t>
      </w:r>
      <w:r w:rsidR="004618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61). Keçi ise av kültü ile ilişkilendirilmekle bi</w:t>
      </w:r>
      <w:r w:rsidR="00461863">
        <w:rPr>
          <w:rFonts w:ascii="Times New Roman" w:eastAsia="Times New Roman" w:hAnsi="Times New Roman" w:cs="Times New Roman"/>
          <w:sz w:val="24"/>
          <w:szCs w:val="24"/>
        </w:rPr>
        <w:t>rlikte,</w:t>
      </w:r>
      <w:r>
        <w:rPr>
          <w:rFonts w:ascii="Times New Roman" w:eastAsia="Times New Roman" w:hAnsi="Times New Roman" w:cs="Times New Roman"/>
          <w:sz w:val="24"/>
          <w:szCs w:val="24"/>
        </w:rPr>
        <w:t xml:space="preserve"> ölümsüzlük otunu yediği ve dağlarda dolaştığı gerekçeleriyle güç ve kuvvetten ziyade ölümsüzlük simgesi olarak kabul edilmiştir (Çoruhlu, 2002, s.</w:t>
      </w:r>
      <w:r w:rsidR="004618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150). </w:t>
      </w:r>
    </w:p>
    <w:p w:rsidR="00B57578" w:rsidRDefault="00DD58B1">
      <w:pPr>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İslamiyet’in kabulünden sonra da koç ve koçboynuzu motifi Türkler arasında güç ve kuvvet sembolü olarak kullanılmaya devam etmiştir. Örneğin Osmanlı Devleti’nde hükümdarlık sembollerinden biri olan </w:t>
      </w:r>
      <w:r>
        <w:rPr>
          <w:rFonts w:ascii="Times New Roman" w:eastAsia="Times New Roman" w:hAnsi="Times New Roman" w:cs="Times New Roman"/>
          <w:i/>
          <w:iCs/>
          <w:sz w:val="24"/>
          <w:szCs w:val="24"/>
        </w:rPr>
        <w:t>Tuğ-ı Hümayun</w:t>
      </w:r>
      <w:r>
        <w:rPr>
          <w:rFonts w:ascii="Times New Roman" w:eastAsia="Times New Roman" w:hAnsi="Times New Roman" w:cs="Times New Roman"/>
          <w:sz w:val="24"/>
          <w:szCs w:val="24"/>
        </w:rPr>
        <w:t xml:space="preserve"> çıktığı zaman 12 koç kurban edilirdi (Ögel, 1995, s.</w:t>
      </w:r>
      <w:r w:rsidR="00162C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544). Anadolu’da koç ve koyun motifli kabartmalar ve heykellerin olduğu mezar taşları dikkat çekmektedir (Çay, 1990, s.</w:t>
      </w:r>
      <w:r w:rsidR="00162C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39). Çay (1990) Anadolu’da yer alan koç motifli mezar taşlarının ve heykellerinin Karakoyunlu ve Akkoyunlu Türkmenleriyle alakalı olduğunu söylemektedir (s.</w:t>
      </w:r>
      <w:r w:rsidR="002E76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39). Çay (1990), bu noktada özellikle Erzurum bölgesinde Ermenilere ait haç ve koç motifli mezar taşlarının bulunduğunu fakat bölgeye Türkmenlerin gelmesi ile koç motifinin yaygınlaştığı</w:t>
      </w:r>
      <w:r w:rsidR="002E7693">
        <w:rPr>
          <w:rFonts w:ascii="Times New Roman" w:eastAsia="Times New Roman" w:hAnsi="Times New Roman" w:cs="Times New Roman"/>
          <w:sz w:val="24"/>
          <w:szCs w:val="24"/>
        </w:rPr>
        <w:t xml:space="preserve"> söylemektedir (42). İslamiyet Öncesi D</w:t>
      </w:r>
      <w:r>
        <w:rPr>
          <w:rFonts w:ascii="Times New Roman" w:eastAsia="Times New Roman" w:hAnsi="Times New Roman" w:cs="Times New Roman"/>
          <w:sz w:val="24"/>
          <w:szCs w:val="24"/>
        </w:rPr>
        <w:t>önem</w:t>
      </w:r>
      <w:r w:rsidR="002E7693">
        <w:rPr>
          <w:rFonts w:ascii="Times New Roman" w:eastAsia="Times New Roman" w:hAnsi="Times New Roman" w:cs="Times New Roman"/>
          <w:sz w:val="24"/>
          <w:szCs w:val="24"/>
        </w:rPr>
        <w:t>’</w:t>
      </w:r>
      <w:r>
        <w:rPr>
          <w:rFonts w:ascii="Times New Roman" w:eastAsia="Times New Roman" w:hAnsi="Times New Roman" w:cs="Times New Roman"/>
          <w:sz w:val="24"/>
          <w:szCs w:val="24"/>
        </w:rPr>
        <w:t>de Türk giyim-kuşam, at koşumları, süs ve ev eşyalarında koç motifi kullanıldığı gibi İslamiyet’in kabulünden sonra da halı-kilim gibi ev tekstili, mimari eserler, mezar taşları gibi birçok alanda koç motifi tercih edilmiştir (Çay, 1990, s.</w:t>
      </w:r>
      <w:r w:rsidR="002E76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25-32).</w:t>
      </w:r>
    </w:p>
    <w:p w:rsidR="00B57578" w:rsidRDefault="00B57578">
      <w:pPr>
        <w:spacing w:line="360" w:lineRule="auto"/>
        <w:ind w:firstLine="708"/>
        <w:rPr>
          <w:rFonts w:ascii="Times New Roman" w:eastAsia="Times New Roman" w:hAnsi="Times New Roman" w:cs="Times New Roman"/>
          <w:sz w:val="24"/>
          <w:szCs w:val="24"/>
        </w:rPr>
      </w:pPr>
    </w:p>
    <w:p w:rsidR="00B57578" w:rsidRDefault="00DD58B1">
      <w:pPr>
        <w:spacing w:line="360" w:lineRule="auto"/>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Kartal Motifi</w:t>
      </w:r>
    </w:p>
    <w:p w:rsidR="00B57578" w:rsidRDefault="00DD58B1">
      <w:pPr>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Türklerde güç ve kuvvet için kullanılan motiflerden birisi de kartal motifidir. Türkler tarafından göksel varlıklar arasında yer alan kartallar koruyucu ruh olarak kabul edilmiş ve kötülüğün karşısında zafer kazanan bir unsur olarak görülmüştür (Çoruhlu, 2002, s.</w:t>
      </w:r>
      <w:r w:rsidR="002E7693">
        <w:rPr>
          <w:rFonts w:ascii="Times New Roman" w:eastAsia="Times New Roman" w:hAnsi="Times New Roman" w:cs="Times New Roman"/>
          <w:sz w:val="24"/>
          <w:szCs w:val="24"/>
        </w:rPr>
        <w:t xml:space="preserve"> 134). İslamiyet Öncesi D</w:t>
      </w:r>
      <w:r>
        <w:rPr>
          <w:rFonts w:ascii="Times New Roman" w:eastAsia="Times New Roman" w:hAnsi="Times New Roman" w:cs="Times New Roman"/>
          <w:sz w:val="24"/>
          <w:szCs w:val="24"/>
        </w:rPr>
        <w:t>önem</w:t>
      </w:r>
      <w:r w:rsidR="002E7693">
        <w:rPr>
          <w:rFonts w:ascii="Times New Roman" w:eastAsia="Times New Roman" w:hAnsi="Times New Roman" w:cs="Times New Roman"/>
          <w:sz w:val="24"/>
          <w:szCs w:val="24"/>
        </w:rPr>
        <w:t>’</w:t>
      </w:r>
      <w:r>
        <w:rPr>
          <w:rFonts w:ascii="Times New Roman" w:eastAsia="Times New Roman" w:hAnsi="Times New Roman" w:cs="Times New Roman"/>
          <w:sz w:val="24"/>
          <w:szCs w:val="24"/>
        </w:rPr>
        <w:t>de, Avrupa Hun Devleti gibi bazı Türk devletlerinin bayraklarında kartal motifi kullanılmıştır (Koca, 2012, s.</w:t>
      </w:r>
      <w:r w:rsidR="002E76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156). İslamiyet’ten önceki dönemde kartal Tanrı sembolü olarak, hayat ağacının üzerinde duran kuş olarak düşünülmüştür. Hatta ilk şamanın oluşmasıyla ilişkilendirilen kartallar; şamanlar tarafından hayvan ata olarak da kabul edilmiştir (Çoruhlu, 2014, s.</w:t>
      </w:r>
      <w:r w:rsidR="00A655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52-53).  Şamanların davullarında kartal simgesi yer almakla birlikte elbiselerinde de kartal tüyleri de bulunurdu (İnan, 1987, </w:t>
      </w:r>
      <w:r w:rsidR="00A655C2">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439-440). Kartal aynı zamanda kahraman ve cesur kişilerin türeme efsanelerinde de yer almaktadır. Örneğin; Şato Türklerinin hükümdarı Li Koyung’un kartal yuvasında doğduğuna dair türeme motifi Çin yıllıklarında yer almaktadır (Ögel, 1995, s.</w:t>
      </w:r>
      <w:r w:rsidR="00A655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586). </w:t>
      </w:r>
    </w:p>
    <w:p w:rsidR="00B57578" w:rsidRDefault="00DD58B1">
      <w:pPr>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Kartal motifi İslamiyet öncesinde olduğu gibi, İslamiyet’in kabulünden sonra da Türkler tarafından güç ve kudret sembolü olarak bayrak ve sancaklarda kullanılmıştır (Koca, 2012, s.</w:t>
      </w:r>
      <w:r w:rsidR="00A655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r w:rsidR="00A655C2">
        <w:rPr>
          <w:rFonts w:ascii="Times New Roman" w:eastAsia="Times New Roman" w:hAnsi="Times New Roman" w:cs="Times New Roman"/>
          <w:sz w:val="24"/>
          <w:szCs w:val="24"/>
        </w:rPr>
        <w:t>56-157). Bu sebeple Türklerin hâ</w:t>
      </w:r>
      <w:r>
        <w:rPr>
          <w:rFonts w:ascii="Times New Roman" w:eastAsia="Times New Roman" w:hAnsi="Times New Roman" w:cs="Times New Roman"/>
          <w:sz w:val="24"/>
          <w:szCs w:val="24"/>
        </w:rPr>
        <w:t>kimiyet kurduğu İran ve Anadolu coğrafyalarında da kartal motifinin yaygınlaştığı görülmektedir. Elbette Anadolu’da Türklerden önce Hitit, Roma ve Bizans’a ait çift başlı kartal motifli eserler bulunuyordu (Öney, 2008, s.</w:t>
      </w:r>
      <w:r w:rsidR="00A655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420). Fakat Selçukluların armalarında kartal sembolünü kullanmasının; Anadolu’da kartal motifinin yaygınlaşmasında etkili olduğu söylenebilir (Koca, 2012, s.</w:t>
      </w:r>
      <w:r w:rsidR="00A655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156). Ayrıca</w:t>
      </w:r>
      <w:r w:rsidR="00A655C2">
        <w:rPr>
          <w:rFonts w:ascii="Times New Roman" w:eastAsia="Times New Roman" w:hAnsi="Times New Roman" w:cs="Times New Roman"/>
          <w:sz w:val="24"/>
          <w:szCs w:val="24"/>
        </w:rPr>
        <w:t xml:space="preserve"> Selçuklularda Tuğrul ve Çağrı B</w:t>
      </w:r>
      <w:r>
        <w:rPr>
          <w:rFonts w:ascii="Times New Roman" w:eastAsia="Times New Roman" w:hAnsi="Times New Roman" w:cs="Times New Roman"/>
          <w:sz w:val="24"/>
          <w:szCs w:val="24"/>
        </w:rPr>
        <w:t>eyler gibi hükümdarların isimlerinin avcı kuşlarl</w:t>
      </w:r>
      <w:r w:rsidR="00A655C2">
        <w:rPr>
          <w:rFonts w:ascii="Times New Roman" w:eastAsia="Times New Roman" w:hAnsi="Times New Roman" w:cs="Times New Roman"/>
          <w:sz w:val="24"/>
          <w:szCs w:val="24"/>
        </w:rPr>
        <w:t>a ilişkili olması da Türklerde k</w:t>
      </w:r>
      <w:r>
        <w:rPr>
          <w:rFonts w:ascii="Times New Roman" w:eastAsia="Times New Roman" w:hAnsi="Times New Roman" w:cs="Times New Roman"/>
          <w:sz w:val="24"/>
          <w:szCs w:val="24"/>
        </w:rPr>
        <w:t>artal motifinin güç, kuvvet ve iktidar anlamını içerdiği fikrini pekiştirmektedir (Çoruhlu, 2014, s.54, 55-56; Koca, 2012, s.</w:t>
      </w:r>
      <w:r w:rsidR="00A655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156). Sel</w:t>
      </w:r>
      <w:r w:rsidR="00A655C2">
        <w:rPr>
          <w:rFonts w:ascii="Times New Roman" w:eastAsia="Times New Roman" w:hAnsi="Times New Roman" w:cs="Times New Roman"/>
          <w:sz w:val="24"/>
          <w:szCs w:val="24"/>
        </w:rPr>
        <w:t>çukluların bölgede hâ</w:t>
      </w:r>
      <w:r>
        <w:rPr>
          <w:rFonts w:ascii="Times New Roman" w:eastAsia="Times New Roman" w:hAnsi="Times New Roman" w:cs="Times New Roman"/>
          <w:sz w:val="24"/>
          <w:szCs w:val="24"/>
        </w:rPr>
        <w:t>kimiyet kurması ile kartal motifi yaygınlaşmış ve zamanla Anadolu’da bulunan kartal figürleri İslam’ın etkisi ile harmanlanıp farklı bir stil olarak ortaya çıkmıştır. Anadolu Selçuklularına ait kartal motifi örnekleri Diyarbakır Yedi Kardeş Burcu, Konya İnceminareli Medrese, Niğde Hüdavend Hatun Türbesi gibi mimari eserlerde görülmektedir (Öney, 2008, s.</w:t>
      </w:r>
      <w:r w:rsidR="00A655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420).</w:t>
      </w:r>
    </w:p>
    <w:p w:rsidR="00B57578" w:rsidRDefault="00DD58B1">
      <w:pPr>
        <w:spacing w:line="360" w:lineRule="auto"/>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Ejderha Motifi</w:t>
      </w:r>
    </w:p>
    <w:p w:rsidR="00B57578" w:rsidRDefault="00DD58B1">
      <w:pPr>
        <w:spacing w:line="36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ab/>
        <w:t>Türklerin kullandığı ejderha motifi de güç, kuvvet ve bereketi sembolize etmektedir. (Çoruhlu, 2000, s.</w:t>
      </w:r>
      <w:r w:rsidR="00A655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133; Koca, 2012 s.</w:t>
      </w:r>
      <w:r w:rsidR="00A655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161). Çin kaynaklarında yer alan bilgilere göre Hun İmparatorluğu’nda Türklerin merkezi bir ejder şehri olarak anılmış ve ejder festivallerinin yapıldığı kaydedilmiştir (Çoruhlu, 1999 s.</w:t>
      </w:r>
      <w:r w:rsidR="00A655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143). Türk kozmolojisinde yer ve gök ejderi olarak karşımıza çıkan ejder motifi; gökyüzüne yükselip yağmur yağdırması sebebiyle bereket anlamı </w:t>
      </w:r>
      <w:r>
        <w:rPr>
          <w:rFonts w:ascii="Times New Roman" w:eastAsia="Times New Roman" w:hAnsi="Times New Roman" w:cs="Times New Roman"/>
          <w:sz w:val="24"/>
          <w:szCs w:val="24"/>
        </w:rPr>
        <w:lastRenderedPageBreak/>
        <w:t>da taşımaktadır. Göktürk hanedanının yaşadığı</w:t>
      </w:r>
      <w:r w:rsidR="00A655C2">
        <w:rPr>
          <w:rFonts w:ascii="Times New Roman" w:eastAsia="Times New Roman" w:hAnsi="Times New Roman" w:cs="Times New Roman"/>
          <w:sz w:val="24"/>
          <w:szCs w:val="24"/>
        </w:rPr>
        <w:t xml:space="preserve"> bölgede 5. yüzyıla ait dünya hâ</w:t>
      </w:r>
      <w:r>
        <w:rPr>
          <w:rFonts w:ascii="Times New Roman" w:eastAsia="Times New Roman" w:hAnsi="Times New Roman" w:cs="Times New Roman"/>
          <w:sz w:val="24"/>
          <w:szCs w:val="24"/>
        </w:rPr>
        <w:t xml:space="preserve">kimiyetini sembolize eden bağdaş kurmuş çift başlı ejder motifli taht, bayrak ve bayrak direkleri </w:t>
      </w:r>
      <w:r w:rsidR="00A655C2">
        <w:rPr>
          <w:rFonts w:ascii="Times New Roman" w:eastAsia="Times New Roman" w:hAnsi="Times New Roman" w:cs="Times New Roman"/>
          <w:sz w:val="24"/>
          <w:szCs w:val="24"/>
        </w:rPr>
        <w:t xml:space="preserve">bulunmuş; 8 </w:t>
      </w:r>
      <w:r>
        <w:rPr>
          <w:rFonts w:ascii="Times New Roman" w:eastAsia="Times New Roman" w:hAnsi="Times New Roman" w:cs="Times New Roman"/>
          <w:sz w:val="24"/>
          <w:szCs w:val="24"/>
        </w:rPr>
        <w:t>ve 9. yüzyıllara ait çift başlı ejder motifli Göktürk anıtl</w:t>
      </w:r>
      <w:r w:rsidR="00A655C2">
        <w:rPr>
          <w:rFonts w:ascii="Times New Roman" w:eastAsia="Times New Roman" w:hAnsi="Times New Roman" w:cs="Times New Roman"/>
          <w:sz w:val="24"/>
          <w:szCs w:val="24"/>
        </w:rPr>
        <w:t>arına da rastlanmıştır. Ayrıca e</w:t>
      </w:r>
      <w:r>
        <w:rPr>
          <w:rFonts w:ascii="Times New Roman" w:eastAsia="Times New Roman" w:hAnsi="Times New Roman" w:cs="Times New Roman"/>
          <w:sz w:val="24"/>
          <w:szCs w:val="24"/>
        </w:rPr>
        <w:t xml:space="preserve">jder motifi </w:t>
      </w:r>
      <w:r>
        <w:rPr>
          <w:rFonts w:ascii="Times New Roman" w:eastAsia="Times New Roman" w:hAnsi="Times New Roman" w:cs="Times New Roman"/>
          <w:i/>
          <w:iCs/>
          <w:sz w:val="24"/>
          <w:szCs w:val="24"/>
        </w:rPr>
        <w:t>Kül Tigin Abide</w:t>
      </w:r>
      <w:r w:rsidR="004823B1" w:rsidRPr="004823B1">
        <w:rPr>
          <w:rFonts w:ascii="Times New Roman" w:eastAsia="Times New Roman" w:hAnsi="Times New Roman" w:cs="Times New Roman"/>
          <w:iCs/>
          <w:sz w:val="24"/>
          <w:szCs w:val="24"/>
        </w:rPr>
        <w:t>’</w:t>
      </w:r>
      <w:r>
        <w:rPr>
          <w:rFonts w:ascii="Times New Roman" w:eastAsia="Times New Roman" w:hAnsi="Times New Roman" w:cs="Times New Roman"/>
          <w:sz w:val="24"/>
          <w:szCs w:val="24"/>
        </w:rPr>
        <w:t>sinin doğu ve batı yüzüne de işlenmiştir (Esin, 2004, s.</w:t>
      </w:r>
      <w:r w:rsidR="00646E6A">
        <w:rPr>
          <w:rFonts w:ascii="Times New Roman" w:eastAsia="Times New Roman" w:hAnsi="Times New Roman" w:cs="Times New Roman"/>
          <w:sz w:val="24"/>
          <w:szCs w:val="24"/>
        </w:rPr>
        <w:t xml:space="preserve"> 155).  Uygur D</w:t>
      </w:r>
      <w:r>
        <w:rPr>
          <w:rFonts w:ascii="Times New Roman" w:eastAsia="Times New Roman" w:hAnsi="Times New Roman" w:cs="Times New Roman"/>
          <w:sz w:val="24"/>
          <w:szCs w:val="24"/>
        </w:rPr>
        <w:t>önemi</w:t>
      </w:r>
      <w:r w:rsidR="00646E6A">
        <w:rPr>
          <w:rFonts w:ascii="Times New Roman" w:eastAsia="Times New Roman" w:hAnsi="Times New Roman" w:cs="Times New Roman"/>
          <w:sz w:val="24"/>
          <w:szCs w:val="24"/>
        </w:rPr>
        <w:t>’</w:t>
      </w:r>
      <w:r>
        <w:rPr>
          <w:rFonts w:ascii="Times New Roman" w:eastAsia="Times New Roman" w:hAnsi="Times New Roman" w:cs="Times New Roman"/>
          <w:sz w:val="24"/>
          <w:szCs w:val="24"/>
        </w:rPr>
        <w:t>nde ise özellikle Budist sutralarda ejderha, evren çarkının etrafına dolanmış ve onu çeviren şekilde yer almıştır (Esin, 2004, s.</w:t>
      </w:r>
      <w:r w:rsidR="00646E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156-157). Uygurlara ait </w:t>
      </w:r>
      <w:r>
        <w:rPr>
          <w:rFonts w:ascii="Times New Roman" w:eastAsia="Times New Roman" w:hAnsi="Times New Roman" w:cs="Times New Roman"/>
          <w:i/>
          <w:iCs/>
          <w:sz w:val="24"/>
          <w:szCs w:val="24"/>
        </w:rPr>
        <w:t>Tes Yazıtı</w:t>
      </w:r>
      <w:r>
        <w:rPr>
          <w:rFonts w:ascii="Times New Roman" w:eastAsia="Times New Roman" w:hAnsi="Times New Roman" w:cs="Times New Roman"/>
          <w:sz w:val="24"/>
          <w:szCs w:val="24"/>
        </w:rPr>
        <w:t>’nda, Uygur Kağan’ı “Ejderha (gibi) yüce bir hakan imiş” (Ölmez, 2018, s.</w:t>
      </w:r>
      <w:r w:rsidR="00646E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61) sözleri ile nitelendirilmiştir. Esin’e (2004) göre Türklerin göksel ejderi Luu, zaman tanrısı Öd Tengri, yer altı tanrısı Erlik Han ve Gök Tanrı ile bağlantılıdır (s.</w:t>
      </w:r>
      <w:r w:rsidR="00646E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158-159</w:t>
      </w:r>
      <w:r w:rsidR="00646E6A">
        <w:rPr>
          <w:rFonts w:ascii="Times New Roman" w:eastAsia="Times New Roman" w:hAnsi="Times New Roman" w:cs="Times New Roman"/>
          <w:sz w:val="24"/>
          <w:szCs w:val="24"/>
        </w:rPr>
        <w:t>). Buradan hareketle İslamiyet Öncesi D</w:t>
      </w:r>
      <w:r>
        <w:rPr>
          <w:rFonts w:ascii="Times New Roman" w:eastAsia="Times New Roman" w:hAnsi="Times New Roman" w:cs="Times New Roman"/>
          <w:sz w:val="24"/>
          <w:szCs w:val="24"/>
        </w:rPr>
        <w:t>önem</w:t>
      </w:r>
      <w:r w:rsidR="00646E6A">
        <w:rPr>
          <w:rFonts w:ascii="Times New Roman" w:eastAsia="Times New Roman" w:hAnsi="Times New Roman" w:cs="Times New Roman"/>
          <w:sz w:val="24"/>
          <w:szCs w:val="24"/>
        </w:rPr>
        <w:t>’</w:t>
      </w:r>
      <w:r>
        <w:rPr>
          <w:rFonts w:ascii="Times New Roman" w:eastAsia="Times New Roman" w:hAnsi="Times New Roman" w:cs="Times New Roman"/>
          <w:sz w:val="24"/>
          <w:szCs w:val="24"/>
        </w:rPr>
        <w:t>de ejderin yer altından göğe yükselmesi, yağmur yağdırması ve evrenin işleyişini devam ettirmesi gibi özellikleri sebebiyle kudr</w:t>
      </w:r>
      <w:r w:rsidR="00646E6A">
        <w:rPr>
          <w:rFonts w:ascii="Times New Roman" w:eastAsia="Times New Roman" w:hAnsi="Times New Roman" w:cs="Times New Roman"/>
          <w:sz w:val="24"/>
          <w:szCs w:val="24"/>
        </w:rPr>
        <w:t>et ve kuvveti sembolize ettiği söylenebilir.</w:t>
      </w:r>
    </w:p>
    <w:p w:rsidR="00B57578" w:rsidRDefault="00DD58B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İslami dönemle birlikte ejder motifi hükümdarlar ve yönetici sınıfla ilgili kullanıldığında güç ve kuvvet; dini konularda kullanıldığında ise kötülük ve zorluk sembolize etmiştir (Çoruhlu, 1999, s.</w:t>
      </w:r>
      <w:r w:rsidR="00646E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144). Ayrıca ejder motifi koruyuculuk, iyilik-kötülük ve hayatın devamlılığını vurgulayan anlamlarda da kullanılmıştır. Anadolu Selçuklu mimari eserlerinde ejder motiflerine sıklıkla rastlanmaktadır (Mutlu &amp; Özdemir, 2022, s.</w:t>
      </w:r>
      <w:r w:rsidR="00646E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1391). Özellikle darüşşifalar, kaleler ve hanlarda ejder motifi karşımıza çıkmaktadır (Öney, 1969, s. 193). Selçuklularda ejder motifleri boğa, aslan ve kartal gibi hayvan motifleri ile birlikte, karşıt kuvvetlerin mücadelesini anlatan şekilde tasvir edilmiştir. İslamiyet’in kabulünden sonra ejder; iyiliğin ve kötülüğün mücadelesini, koruyuculuğu ve gezegenlerin hareketini ifade ettiği anlamlarda kullanılmıştır. (Mutlu ve Özdemir, 2022, s.</w:t>
      </w:r>
      <w:r w:rsidR="00646E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1392).</w:t>
      </w:r>
    </w:p>
    <w:p w:rsidR="00B57578" w:rsidRDefault="00DD58B1">
      <w:pPr>
        <w:spacing w:line="360" w:lineRule="auto"/>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Çintemani Motifi</w:t>
      </w:r>
    </w:p>
    <w:p w:rsidR="00B57578" w:rsidRDefault="00DD58B1">
      <w:pPr>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Türkler arasında güç, kuvvet ve iktidarı simgeleyen bir başka motif ise çintemani motifidir. Kökleri Hinduizm ve Brahmanizm’e dayanan çintemani motifi Türkler tarafından oldukça beğenilmiş ve İslamiyet’in kabulünden sonra da Türkler tarafından kullanılmıştır (</w:t>
      </w:r>
      <w:r w:rsidR="00646E6A">
        <w:rPr>
          <w:rFonts w:ascii="Times New Roman" w:eastAsia="Times New Roman" w:hAnsi="Times New Roman" w:cs="Times New Roman"/>
          <w:sz w:val="24"/>
          <w:szCs w:val="24"/>
        </w:rPr>
        <w:t xml:space="preserve">Bulut, 2018, s. 2979; </w:t>
      </w:r>
      <w:r>
        <w:rPr>
          <w:rFonts w:ascii="Times New Roman" w:eastAsia="Times New Roman" w:hAnsi="Times New Roman" w:cs="Times New Roman"/>
          <w:sz w:val="24"/>
          <w:szCs w:val="24"/>
        </w:rPr>
        <w:t>Tekin, 2006, s.</w:t>
      </w:r>
      <w:r w:rsidR="00646E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413-418). İslamiye</w:t>
      </w:r>
      <w:r w:rsidR="00646E6A">
        <w:rPr>
          <w:rFonts w:ascii="Times New Roman" w:eastAsia="Times New Roman" w:hAnsi="Times New Roman" w:cs="Times New Roman"/>
          <w:sz w:val="24"/>
          <w:szCs w:val="24"/>
        </w:rPr>
        <w:t>t Öncesi D</w:t>
      </w:r>
      <w:r>
        <w:rPr>
          <w:rFonts w:ascii="Times New Roman" w:eastAsia="Times New Roman" w:hAnsi="Times New Roman" w:cs="Times New Roman"/>
          <w:sz w:val="24"/>
          <w:szCs w:val="24"/>
        </w:rPr>
        <w:t>önem</w:t>
      </w:r>
      <w:r w:rsidR="00646E6A">
        <w:rPr>
          <w:rFonts w:ascii="Times New Roman" w:eastAsia="Times New Roman" w:hAnsi="Times New Roman" w:cs="Times New Roman"/>
          <w:sz w:val="24"/>
          <w:szCs w:val="24"/>
        </w:rPr>
        <w:t>’</w:t>
      </w:r>
      <w:r>
        <w:rPr>
          <w:rFonts w:ascii="Times New Roman" w:eastAsia="Times New Roman" w:hAnsi="Times New Roman" w:cs="Times New Roman"/>
          <w:sz w:val="24"/>
          <w:szCs w:val="24"/>
        </w:rPr>
        <w:t>de çintemani motifin</w:t>
      </w:r>
      <w:r w:rsidR="00646E6A">
        <w:rPr>
          <w:rFonts w:ascii="Times New Roman" w:eastAsia="Times New Roman" w:hAnsi="Times New Roman" w:cs="Times New Roman"/>
          <w:sz w:val="24"/>
          <w:szCs w:val="24"/>
        </w:rPr>
        <w:t>in yer aldığı örneklere Uygur D</w:t>
      </w:r>
      <w:r>
        <w:rPr>
          <w:rFonts w:ascii="Times New Roman" w:eastAsia="Times New Roman" w:hAnsi="Times New Roman" w:cs="Times New Roman"/>
          <w:sz w:val="24"/>
          <w:szCs w:val="24"/>
        </w:rPr>
        <w:t>önemi</w:t>
      </w:r>
      <w:r w:rsidR="00646E6A">
        <w:rPr>
          <w:rFonts w:ascii="Times New Roman" w:eastAsia="Times New Roman" w:hAnsi="Times New Roman" w:cs="Times New Roman"/>
          <w:sz w:val="24"/>
          <w:szCs w:val="24"/>
        </w:rPr>
        <w:t>’</w:t>
      </w:r>
      <w:r>
        <w:rPr>
          <w:rFonts w:ascii="Times New Roman" w:eastAsia="Times New Roman" w:hAnsi="Times New Roman" w:cs="Times New Roman"/>
          <w:sz w:val="24"/>
          <w:szCs w:val="24"/>
        </w:rPr>
        <w:t>nde rastlanırken (Okumura, 1998, s.</w:t>
      </w:r>
      <w:r w:rsidR="00646E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17-18); İslam dünyasındaki erken örneklere Moğol İlhanlı Devleti’nin İslamiyet’i kabulünden sonra, İlhanlı resim sanatında rastlanmaktadır (Kadoi, 2007, s.</w:t>
      </w:r>
      <w:r w:rsidR="00646E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37). Çintemani motifi, Timur tarafından kullanılmış ve devletin simgesi olmuştur. Timur’un kullandığı üç nokta motifinin hayvan sembolizmi içeren kaplan benekleriyle ilişkili olabileceği düşünülmektedir. Faka</w:t>
      </w:r>
      <w:r w:rsidR="00646E6A">
        <w:rPr>
          <w:rFonts w:ascii="Times New Roman" w:eastAsia="Times New Roman" w:hAnsi="Times New Roman" w:cs="Times New Roman"/>
          <w:sz w:val="24"/>
          <w:szCs w:val="24"/>
        </w:rPr>
        <w:t>t bu motifin Timur’un Avrasya hâ</w:t>
      </w:r>
      <w:r>
        <w:rPr>
          <w:rFonts w:ascii="Times New Roman" w:eastAsia="Times New Roman" w:hAnsi="Times New Roman" w:cs="Times New Roman"/>
          <w:sz w:val="24"/>
          <w:szCs w:val="24"/>
        </w:rPr>
        <w:t xml:space="preserve">kimiyetini sembolize ediyor olabileceği fikri göz önünde </w:t>
      </w:r>
      <w:r>
        <w:rPr>
          <w:rFonts w:ascii="Times New Roman" w:eastAsia="Times New Roman" w:hAnsi="Times New Roman" w:cs="Times New Roman"/>
          <w:sz w:val="24"/>
          <w:szCs w:val="24"/>
        </w:rPr>
        <w:lastRenderedPageBreak/>
        <w:t>bulundurulmalıdır (Kadoi, 2007, s.</w:t>
      </w:r>
      <w:r w:rsidR="00646E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39). Çintemani mot</w:t>
      </w:r>
      <w:r w:rsidR="00646E6A">
        <w:rPr>
          <w:rFonts w:ascii="Times New Roman" w:eastAsia="Times New Roman" w:hAnsi="Times New Roman" w:cs="Times New Roman"/>
          <w:sz w:val="24"/>
          <w:szCs w:val="24"/>
        </w:rPr>
        <w:t>ifi Timurlulardan önce Moğol hâ</w:t>
      </w:r>
      <w:r>
        <w:rPr>
          <w:rFonts w:ascii="Times New Roman" w:eastAsia="Times New Roman" w:hAnsi="Times New Roman" w:cs="Times New Roman"/>
          <w:sz w:val="24"/>
          <w:szCs w:val="24"/>
        </w:rPr>
        <w:t>kimiyetindeki İran coğrafyasında kullanılmış ve Budist köklerinden uzaklaşmıştır (Kadoi, 2007, s.</w:t>
      </w:r>
      <w:r w:rsidR="00646E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37-40). Bu sebeple çintemani motifinin Budizm ve Orta Asya köklerinin dışında (Kadoi, 2007, s.</w:t>
      </w:r>
      <w:r w:rsidR="00646E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39), güç, kuvvet ve iktidarı i</w:t>
      </w:r>
      <w:r w:rsidR="00646E6A">
        <w:rPr>
          <w:rFonts w:ascii="Times New Roman" w:eastAsia="Times New Roman" w:hAnsi="Times New Roman" w:cs="Times New Roman"/>
          <w:sz w:val="24"/>
          <w:szCs w:val="24"/>
        </w:rPr>
        <w:t xml:space="preserve">fade edecek biçimde kullanıldığı söylenebilir </w:t>
      </w:r>
      <w:r>
        <w:rPr>
          <w:rFonts w:ascii="Times New Roman" w:eastAsia="Times New Roman" w:hAnsi="Times New Roman" w:cs="Times New Roman"/>
          <w:sz w:val="24"/>
          <w:szCs w:val="24"/>
        </w:rPr>
        <w:t>(Okumura, 1998, s.</w:t>
      </w:r>
      <w:r w:rsidR="00646E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21). </w:t>
      </w:r>
    </w:p>
    <w:p w:rsidR="00B57578" w:rsidRDefault="00DD58B1">
      <w:pPr>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Çintemani motif</w:t>
      </w:r>
      <w:r w:rsidR="00646E6A">
        <w:rPr>
          <w:rFonts w:ascii="Times New Roman" w:eastAsia="Times New Roman" w:hAnsi="Times New Roman" w:cs="Times New Roman"/>
          <w:sz w:val="24"/>
          <w:szCs w:val="24"/>
        </w:rPr>
        <w:t>i özellikle Anadolu’da, Osmanlı D</w:t>
      </w:r>
      <w:r>
        <w:rPr>
          <w:rFonts w:ascii="Times New Roman" w:eastAsia="Times New Roman" w:hAnsi="Times New Roman" w:cs="Times New Roman"/>
          <w:sz w:val="24"/>
          <w:szCs w:val="24"/>
        </w:rPr>
        <w:t>önemi</w:t>
      </w:r>
      <w:r w:rsidR="00646E6A">
        <w:rPr>
          <w:rFonts w:ascii="Times New Roman" w:eastAsia="Times New Roman" w:hAnsi="Times New Roman" w:cs="Times New Roman"/>
          <w:sz w:val="24"/>
          <w:szCs w:val="24"/>
        </w:rPr>
        <w:t>’</w:t>
      </w:r>
      <w:r>
        <w:rPr>
          <w:rFonts w:ascii="Times New Roman" w:eastAsia="Times New Roman" w:hAnsi="Times New Roman" w:cs="Times New Roman"/>
          <w:sz w:val="24"/>
          <w:szCs w:val="24"/>
        </w:rPr>
        <w:t>nde yaygın olarak kullanılmıştır. Özellikle Osmanlı kaftanlarında beğeni ile kullanılan çintemani motifini sadece Timurlular ile ilişkili olarak yorumlamak pek sağlıklı bir yaklaşım değildir. Çintemani motifinin Timur’a has bir simge olması durumunda, muhtemelen Osmanlı sanatında yaygın olarak tercih edilmezdi (Öz, 1946, s.</w:t>
      </w:r>
      <w:r w:rsidR="00646E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85).</w:t>
      </w:r>
    </w:p>
    <w:p w:rsidR="00B57578" w:rsidRDefault="00DD58B1">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SONUÇ</w:t>
      </w:r>
    </w:p>
    <w:p w:rsidR="00B57578" w:rsidRDefault="00DD58B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Türk kültüründe güç, kuvvet ve iktidarı sembolize eden birçok motif bulunmaktadır. Bu motiflerin en önemli özelliği Türkler tarafından gök ve ilahi kanallar ile ilişkilendirilmeleridir. Bu bağlamda Türklerin temel iktidar ve güç motifi Tengri/ Tanrı motifidir.  Tengri’nin dünya üzerinde mutlak otoriteye sahip olarak görülmesinin etkili olduğu söylenebilir. Örneğin, Tanrı izin verirse Türk milleti yaşar, kağanı kut bulur, Türk ordusu düşmanlarına galip gelir. Türklerde bu düşünce İslamiyet’in kabulünden sonra Allah’ın otoritesinin kabulüne evrilmiştir. İslam inancında, Türk hükümdarların kutu yani yönetme yetkisini doğrudan Allah tarafından almaları mümkün değildi. Bu sebeple ilk Müslüman Türk hükümdarları meşruiyetlerini sağlamak için Abbasi halifesinden onay almış, adlarına hutbe okutmuştur.  Türklerde güç kuvvet ve iktidarı simgeleyen hayvan ve mitolojik varlık motiflerinin ise genellikle gök ve tanrı ile ilişkisi bulunmaktadır. Koç</w:t>
      </w:r>
      <w:r w:rsidR="00646E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diğer boynuzlu hayvanlar gibi gökle ilişkilendirilmiş ve ilahi özelliklerinin olduğu düşünülmüştür. Koç motifi Türklerin İslamiyet’i kabulü ile Anadolu’ya taşınmış ve bu motifin Anadolu da kullanımı artmıştır. Türk kültüründe kartal motifi de iktidar ve kuvveti sembolize etmek için kullanılmıştır. İslamiyet’in kabulünden sonra da kullanılmaya devam edilen kartal motifi, Türk devletlerinin bayrak ve tuğlarında da</w:t>
      </w:r>
      <w:r w:rsidR="00646E6A">
        <w:rPr>
          <w:rFonts w:ascii="Times New Roman" w:eastAsia="Times New Roman" w:hAnsi="Times New Roman" w:cs="Times New Roman"/>
          <w:sz w:val="24"/>
          <w:szCs w:val="24"/>
        </w:rPr>
        <w:t xml:space="preserve"> yer almıştır</w:t>
      </w:r>
      <w:r>
        <w:rPr>
          <w:rFonts w:ascii="Times New Roman" w:eastAsia="Times New Roman" w:hAnsi="Times New Roman" w:cs="Times New Roman"/>
          <w:sz w:val="24"/>
          <w:szCs w:val="24"/>
        </w:rPr>
        <w:t xml:space="preserve">. Mitolojik figürlerden biri olan ejderha da güç, kuvvet motifleri arasında yer almakladır. Anadolu’da </w:t>
      </w:r>
      <w:r w:rsidR="00646E6A">
        <w:rPr>
          <w:rFonts w:ascii="Times New Roman" w:eastAsia="Times New Roman" w:hAnsi="Times New Roman" w:cs="Times New Roman"/>
          <w:sz w:val="24"/>
          <w:szCs w:val="24"/>
        </w:rPr>
        <w:t xml:space="preserve">da Müslüman Türkler tarafından </w:t>
      </w:r>
      <w:r>
        <w:rPr>
          <w:rFonts w:ascii="Times New Roman" w:eastAsia="Times New Roman" w:hAnsi="Times New Roman" w:cs="Times New Roman"/>
          <w:sz w:val="24"/>
          <w:szCs w:val="24"/>
        </w:rPr>
        <w:t>güç motifi olarak</w:t>
      </w:r>
      <w:r w:rsidR="00646E6A">
        <w:rPr>
          <w:rFonts w:ascii="Times New Roman" w:eastAsia="Times New Roman" w:hAnsi="Times New Roman" w:cs="Times New Roman"/>
          <w:sz w:val="24"/>
          <w:szCs w:val="24"/>
        </w:rPr>
        <w:t xml:space="preserve"> görülmüştür ama bazen güçlü bir düşmanı </w:t>
      </w:r>
      <w:r>
        <w:rPr>
          <w:rFonts w:ascii="Times New Roman" w:eastAsia="Times New Roman" w:hAnsi="Times New Roman" w:cs="Times New Roman"/>
          <w:sz w:val="24"/>
          <w:szCs w:val="24"/>
        </w:rPr>
        <w:t>ifade etmek için de kullanılmıştır. Türklerin kullandığı bir diğer güç ve kuvvet motif</w:t>
      </w:r>
      <w:r w:rsidR="00646E6A">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ise çintemanidir. Çintemani motifi her ne kadar Budist ve Hindu kökenlere sahip olsa da zamanla bu anlamlarını yitirmiş; kararlılık, güç ve iktidarı</w:t>
      </w:r>
      <w:r w:rsidR="00994563">
        <w:rPr>
          <w:rFonts w:ascii="Times New Roman" w:eastAsia="Times New Roman" w:hAnsi="Times New Roman" w:cs="Times New Roman"/>
          <w:sz w:val="24"/>
          <w:szCs w:val="24"/>
        </w:rPr>
        <w:t xml:space="preserve"> simgeleyen bir motif olmuştur. </w:t>
      </w:r>
      <w:r w:rsidRPr="00717904">
        <w:rPr>
          <w:rFonts w:ascii="Times New Roman" w:eastAsia="Times New Roman" w:hAnsi="Times New Roman" w:cs="Times New Roman"/>
          <w:sz w:val="24"/>
          <w:szCs w:val="24"/>
        </w:rPr>
        <w:t>Özellikle Osmanlı’da beğeni ile kullanılan çintemani motifi bu durumu destekler niteliktedir.</w:t>
      </w:r>
    </w:p>
    <w:p w:rsidR="00B57578" w:rsidRDefault="00B57578">
      <w:pPr>
        <w:spacing w:before="0" w:after="0" w:line="360" w:lineRule="auto"/>
        <w:ind w:firstLine="0"/>
        <w:rPr>
          <w:rFonts w:ascii="Times New Roman" w:eastAsia="Times New Roman" w:hAnsi="Times New Roman" w:cs="Times New Roman"/>
          <w:b/>
          <w:bCs/>
        </w:rPr>
      </w:pPr>
    </w:p>
    <w:p w:rsidR="00B57578" w:rsidRDefault="00B57578">
      <w:pPr>
        <w:spacing w:before="0" w:after="0" w:line="360" w:lineRule="auto"/>
        <w:ind w:firstLine="0"/>
        <w:rPr>
          <w:rFonts w:ascii="Times New Roman" w:eastAsia="Times New Roman" w:hAnsi="Times New Roman" w:cs="Times New Roman"/>
          <w:b/>
          <w:bCs/>
        </w:rPr>
      </w:pPr>
    </w:p>
    <w:p w:rsidR="00B57578" w:rsidRDefault="00DD58B1">
      <w:pPr>
        <w:pStyle w:val="Balk1"/>
        <w:spacing w:before="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KAYNAKÇA</w:t>
      </w:r>
    </w:p>
    <w:p w:rsidR="00B57578" w:rsidRDefault="00DD58B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Anbarlı Bozatay, Ş. (2019). </w:t>
      </w:r>
      <w:r>
        <w:rPr>
          <w:rFonts w:ascii="Times New Roman" w:eastAsia="Times New Roman" w:hAnsi="Times New Roman" w:cs="Times New Roman"/>
          <w:i/>
          <w:iCs/>
          <w:sz w:val="24"/>
          <w:szCs w:val="24"/>
        </w:rPr>
        <w:t>Eski Türklerde devlet Anlayışında iktidar ve hâkimiyet</w:t>
      </w:r>
      <w:r>
        <w:rPr>
          <w:rFonts w:ascii="Times New Roman" w:eastAsia="Times New Roman" w:hAnsi="Times New Roman" w:cs="Times New Roman"/>
          <w:sz w:val="24"/>
          <w:szCs w:val="24"/>
        </w:rPr>
        <w:t>. İstanbul: Kriter.</w:t>
      </w:r>
    </w:p>
    <w:p w:rsidR="00B57578" w:rsidRDefault="00DD58B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Bulut, Ş. (2018). Çintemani motifinin geçmişi ve bugünü. </w:t>
      </w:r>
      <w:r>
        <w:rPr>
          <w:rFonts w:ascii="Times New Roman" w:eastAsia="Times New Roman" w:hAnsi="Times New Roman" w:cs="Times New Roman"/>
          <w:i/>
          <w:iCs/>
          <w:sz w:val="24"/>
          <w:szCs w:val="24"/>
        </w:rPr>
        <w:t>Journal of social and humanities scıences research</w:t>
      </w:r>
      <w:r w:rsidR="00646E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46E6A">
        <w:rPr>
          <w:rFonts w:ascii="Times New Roman" w:eastAsia="Times New Roman" w:hAnsi="Times New Roman" w:cs="Times New Roman"/>
          <w:i/>
          <w:sz w:val="24"/>
          <w:szCs w:val="24"/>
        </w:rPr>
        <w:t>5</w:t>
      </w:r>
      <w:r>
        <w:rPr>
          <w:rFonts w:ascii="Times New Roman" w:eastAsia="Times New Roman" w:hAnsi="Times New Roman" w:cs="Times New Roman"/>
          <w:sz w:val="24"/>
          <w:szCs w:val="24"/>
        </w:rPr>
        <w:t>(27), 2974-2987.</w:t>
      </w:r>
    </w:p>
    <w:p w:rsidR="00B57578" w:rsidRDefault="00DD58B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Çay, A. M. (1983). </w:t>
      </w:r>
      <w:r>
        <w:rPr>
          <w:rFonts w:ascii="Times New Roman" w:eastAsia="Times New Roman" w:hAnsi="Times New Roman" w:cs="Times New Roman"/>
          <w:i/>
          <w:iCs/>
          <w:sz w:val="24"/>
          <w:szCs w:val="24"/>
        </w:rPr>
        <w:t>Anadolu'da Türk damgası: koç heykel-mezar taşları ve Türkler'de koç-koyun meselesi.</w:t>
      </w:r>
      <w:r>
        <w:rPr>
          <w:rFonts w:ascii="Times New Roman" w:eastAsia="Times New Roman" w:hAnsi="Times New Roman" w:cs="Times New Roman"/>
          <w:sz w:val="24"/>
          <w:szCs w:val="24"/>
        </w:rPr>
        <w:t xml:space="preserve"> Ankara: Türk Kültürünü Araştırma Enstitüsü.</w:t>
      </w:r>
    </w:p>
    <w:p w:rsidR="00B57578" w:rsidRDefault="00DD58B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Çoruhlu, Y. (1999). </w:t>
      </w:r>
      <w:r>
        <w:rPr>
          <w:rFonts w:ascii="Times New Roman" w:eastAsia="Times New Roman" w:hAnsi="Times New Roman" w:cs="Times New Roman"/>
          <w:i/>
          <w:iCs/>
          <w:sz w:val="24"/>
          <w:szCs w:val="24"/>
        </w:rPr>
        <w:t>Türk mitolojisinin abcsi</w:t>
      </w:r>
      <w:r>
        <w:rPr>
          <w:rFonts w:ascii="Times New Roman" w:eastAsia="Times New Roman" w:hAnsi="Times New Roman" w:cs="Times New Roman"/>
          <w:sz w:val="24"/>
          <w:szCs w:val="24"/>
        </w:rPr>
        <w:t>. İstanbul: Kabalcı.</w:t>
      </w:r>
    </w:p>
    <w:p w:rsidR="00B57578" w:rsidRDefault="00DD58B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Çoruhlu, Y. (2002). </w:t>
      </w:r>
      <w:r>
        <w:rPr>
          <w:rFonts w:ascii="Times New Roman" w:eastAsia="Times New Roman" w:hAnsi="Times New Roman" w:cs="Times New Roman"/>
          <w:i/>
          <w:iCs/>
          <w:sz w:val="24"/>
          <w:szCs w:val="24"/>
        </w:rPr>
        <w:t>Türk mitolojisinin anahatları</w:t>
      </w:r>
      <w:r>
        <w:rPr>
          <w:rFonts w:ascii="Times New Roman" w:eastAsia="Times New Roman" w:hAnsi="Times New Roman" w:cs="Times New Roman"/>
          <w:sz w:val="24"/>
          <w:szCs w:val="24"/>
        </w:rPr>
        <w:t>. İstanbul: Kabalcı.</w:t>
      </w:r>
    </w:p>
    <w:p w:rsidR="00B57578" w:rsidRDefault="00DD58B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Çoruhlu, Y. (2014). </w:t>
      </w:r>
      <w:r>
        <w:rPr>
          <w:rFonts w:ascii="Times New Roman" w:eastAsia="Times New Roman" w:hAnsi="Times New Roman" w:cs="Times New Roman"/>
          <w:i/>
          <w:iCs/>
          <w:sz w:val="24"/>
          <w:szCs w:val="24"/>
        </w:rPr>
        <w:t>Türk Sanatında Hayvan Sembolizmi</w:t>
      </w:r>
      <w:r>
        <w:rPr>
          <w:rFonts w:ascii="Times New Roman" w:eastAsia="Times New Roman" w:hAnsi="Times New Roman" w:cs="Times New Roman"/>
          <w:sz w:val="24"/>
          <w:szCs w:val="24"/>
        </w:rPr>
        <w:t>. Konya: Kömen.</w:t>
      </w:r>
    </w:p>
    <w:p w:rsidR="00B57578" w:rsidRDefault="00DD58B1">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Durmuş, İ. (2018). </w:t>
      </w:r>
      <w:r>
        <w:rPr>
          <w:rFonts w:ascii="Times New Roman" w:eastAsia="Times New Roman" w:hAnsi="Times New Roman" w:cs="Times New Roman"/>
          <w:i/>
          <w:iCs/>
          <w:sz w:val="24"/>
          <w:szCs w:val="24"/>
        </w:rPr>
        <w:t>Türk kültürüne giriş</w:t>
      </w:r>
      <w:r>
        <w:rPr>
          <w:rFonts w:ascii="Times New Roman" w:eastAsia="Times New Roman" w:hAnsi="Times New Roman" w:cs="Times New Roman"/>
          <w:sz w:val="24"/>
          <w:szCs w:val="24"/>
        </w:rPr>
        <w:t>. Ankara: Akçağ.</w:t>
      </w:r>
    </w:p>
    <w:p w:rsidR="00B57578" w:rsidRDefault="00DD58B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Ergin, M. (1969). </w:t>
      </w:r>
      <w:r>
        <w:rPr>
          <w:rFonts w:ascii="Times New Roman" w:eastAsia="Times New Roman" w:hAnsi="Times New Roman" w:cs="Times New Roman"/>
          <w:i/>
          <w:iCs/>
          <w:sz w:val="24"/>
          <w:szCs w:val="24"/>
        </w:rPr>
        <w:t>Dede korkut kitabı</w:t>
      </w:r>
      <w:r>
        <w:rPr>
          <w:rFonts w:ascii="Times New Roman" w:eastAsia="Times New Roman" w:hAnsi="Times New Roman" w:cs="Times New Roman"/>
          <w:sz w:val="24"/>
          <w:szCs w:val="24"/>
        </w:rPr>
        <w:t>. İstanbul: Milli Eğitim Basımevi.</w:t>
      </w:r>
    </w:p>
    <w:p w:rsidR="00B57578" w:rsidRDefault="00DD58B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Esin, E. (2004). </w:t>
      </w:r>
      <w:r>
        <w:rPr>
          <w:rFonts w:ascii="Times New Roman" w:eastAsia="Times New Roman" w:hAnsi="Times New Roman" w:cs="Times New Roman"/>
          <w:i/>
          <w:iCs/>
          <w:sz w:val="24"/>
          <w:szCs w:val="24"/>
        </w:rPr>
        <w:t>Orta Asya’dan Osmanlıya Türk sanatında ikonografik motifler</w:t>
      </w:r>
      <w:r>
        <w:rPr>
          <w:rFonts w:ascii="Times New Roman" w:eastAsia="Times New Roman" w:hAnsi="Times New Roman" w:cs="Times New Roman"/>
          <w:sz w:val="24"/>
          <w:szCs w:val="24"/>
        </w:rPr>
        <w:t>. İstanbul: Kabalcı.</w:t>
      </w:r>
    </w:p>
    <w:p w:rsidR="00B57578" w:rsidRDefault="00DD58B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Esin, E. (1978). </w:t>
      </w:r>
      <w:r>
        <w:rPr>
          <w:rFonts w:ascii="Times New Roman" w:eastAsia="Times New Roman" w:hAnsi="Times New Roman" w:cs="Times New Roman"/>
          <w:i/>
          <w:iCs/>
          <w:sz w:val="24"/>
          <w:szCs w:val="24"/>
        </w:rPr>
        <w:t>İslamiyetten önceki Türk kültür tarihi ve İslama giriş (Türk kültürü el-kitabı, II, cild I/b’den ayrı basım)</w:t>
      </w:r>
      <w:r>
        <w:rPr>
          <w:rFonts w:ascii="Times New Roman" w:eastAsia="Times New Roman" w:hAnsi="Times New Roman" w:cs="Times New Roman"/>
          <w:sz w:val="24"/>
          <w:szCs w:val="24"/>
        </w:rPr>
        <w:t>. İstanbul: Edebiyat Fakültesi Matbaası.</w:t>
      </w:r>
    </w:p>
    <w:p w:rsidR="00B57578" w:rsidRDefault="00DD58B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Günay, Ü &amp; Güngör, H. (2018). </w:t>
      </w:r>
      <w:r>
        <w:rPr>
          <w:rFonts w:ascii="Times New Roman" w:eastAsia="Times New Roman" w:hAnsi="Times New Roman" w:cs="Times New Roman"/>
          <w:i/>
          <w:iCs/>
          <w:sz w:val="24"/>
          <w:szCs w:val="24"/>
        </w:rPr>
        <w:t>Başlangıçtan günümüze kadar Türklerin dini tarihi</w:t>
      </w:r>
      <w:r>
        <w:rPr>
          <w:rFonts w:ascii="Times New Roman" w:eastAsia="Times New Roman" w:hAnsi="Times New Roman" w:cs="Times New Roman"/>
          <w:sz w:val="24"/>
          <w:szCs w:val="24"/>
        </w:rPr>
        <w:t>. İstanbul: Bilge Kültür Sanat.</w:t>
      </w:r>
    </w:p>
    <w:p w:rsidR="00B57578" w:rsidRDefault="00DD58B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İnan, A. (1987). </w:t>
      </w:r>
      <w:r>
        <w:rPr>
          <w:rFonts w:ascii="Times New Roman" w:eastAsia="Times New Roman" w:hAnsi="Times New Roman" w:cs="Times New Roman"/>
          <w:i/>
          <w:iCs/>
          <w:sz w:val="24"/>
          <w:szCs w:val="24"/>
        </w:rPr>
        <w:t>Ma</w:t>
      </w:r>
      <w:r w:rsidR="00646E6A">
        <w:rPr>
          <w:rFonts w:ascii="Times New Roman" w:eastAsia="Times New Roman" w:hAnsi="Times New Roman" w:cs="Times New Roman"/>
          <w:i/>
          <w:iCs/>
          <w:sz w:val="24"/>
          <w:szCs w:val="24"/>
        </w:rPr>
        <w:t>kaleler ve i</w:t>
      </w:r>
      <w:r>
        <w:rPr>
          <w:rFonts w:ascii="Times New Roman" w:eastAsia="Times New Roman" w:hAnsi="Times New Roman" w:cs="Times New Roman"/>
          <w:i/>
          <w:iCs/>
          <w:sz w:val="24"/>
          <w:szCs w:val="24"/>
        </w:rPr>
        <w:t>ncelemeler</w:t>
      </w:r>
      <w:r>
        <w:rPr>
          <w:rFonts w:ascii="Times New Roman" w:eastAsia="Times New Roman" w:hAnsi="Times New Roman" w:cs="Times New Roman"/>
          <w:sz w:val="24"/>
          <w:szCs w:val="24"/>
        </w:rPr>
        <w:t>. Ankara: Türk Tarih Kurumu Basımevi.</w:t>
      </w:r>
    </w:p>
    <w:p w:rsidR="00B57578" w:rsidRDefault="00DD58B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Kadoi, Y. (</w:t>
      </w:r>
      <w:r w:rsidR="00646E6A">
        <w:rPr>
          <w:rFonts w:ascii="Times New Roman" w:eastAsia="Times New Roman" w:hAnsi="Times New Roman" w:cs="Times New Roman"/>
          <w:sz w:val="24"/>
          <w:szCs w:val="24"/>
        </w:rPr>
        <w:t>2007). Çintamani: Notes on the f</w:t>
      </w:r>
      <w:r>
        <w:rPr>
          <w:rFonts w:ascii="Times New Roman" w:eastAsia="Times New Roman" w:hAnsi="Times New Roman" w:cs="Times New Roman"/>
          <w:sz w:val="24"/>
          <w:szCs w:val="24"/>
        </w:rPr>
        <w:t xml:space="preserve">ormation of the Turco Iranian Style. </w:t>
      </w:r>
      <w:r>
        <w:rPr>
          <w:rFonts w:ascii="Times New Roman" w:eastAsia="Times New Roman" w:hAnsi="Times New Roman" w:cs="Times New Roman"/>
          <w:i/>
          <w:iCs/>
          <w:sz w:val="24"/>
          <w:szCs w:val="24"/>
        </w:rPr>
        <w:t>Persica</w:t>
      </w:r>
      <w:r>
        <w:rPr>
          <w:rFonts w:ascii="Times New Roman" w:eastAsia="Times New Roman" w:hAnsi="Times New Roman" w:cs="Times New Roman"/>
          <w:sz w:val="24"/>
          <w:szCs w:val="24"/>
        </w:rPr>
        <w:t xml:space="preserve"> 21, 33-49.</w:t>
      </w:r>
    </w:p>
    <w:p w:rsidR="00B57578" w:rsidRDefault="00DD58B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Koca, S. K. (2012). Türk kültüründe sembollerin dili</w:t>
      </w:r>
      <w:r>
        <w:rPr>
          <w:rFonts w:ascii="Times New Roman" w:eastAsia="Times New Roman" w:hAnsi="Times New Roman" w:cs="Times New Roman"/>
          <w:i/>
          <w:iCs/>
          <w:sz w:val="24"/>
          <w:szCs w:val="24"/>
        </w:rPr>
        <w:t>. Yayımlanmamış Doktora Tezi</w:t>
      </w:r>
      <w:r>
        <w:rPr>
          <w:rFonts w:ascii="Times New Roman" w:eastAsia="Times New Roman" w:hAnsi="Times New Roman" w:cs="Times New Roman"/>
          <w:sz w:val="24"/>
          <w:szCs w:val="24"/>
        </w:rPr>
        <w:t>. Sakarya Üniversitesi Sosyal Bilimler Enstitüsü, Sakarya.</w:t>
      </w:r>
    </w:p>
    <w:p w:rsidR="00B57578" w:rsidRDefault="00DD58B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Koca, S. (2016). </w:t>
      </w:r>
      <w:r>
        <w:rPr>
          <w:rFonts w:ascii="Times New Roman" w:eastAsia="Times New Roman" w:hAnsi="Times New Roman" w:cs="Times New Roman"/>
          <w:i/>
          <w:iCs/>
          <w:sz w:val="24"/>
          <w:szCs w:val="24"/>
        </w:rPr>
        <w:t>Türk kültürünün temelleri</w:t>
      </w:r>
      <w:r>
        <w:rPr>
          <w:rFonts w:ascii="Times New Roman" w:eastAsia="Times New Roman" w:hAnsi="Times New Roman" w:cs="Times New Roman"/>
          <w:sz w:val="24"/>
          <w:szCs w:val="24"/>
        </w:rPr>
        <w:t>. Ankara: Berikan Yayınevi.</w:t>
      </w:r>
    </w:p>
    <w:p w:rsidR="00B57578" w:rsidRDefault="00DD58B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Mutlu, H. S. </w:t>
      </w:r>
      <w:r w:rsidR="00646E6A">
        <w:rPr>
          <w:rFonts w:ascii="Times New Roman" w:eastAsia="Times New Roman" w:hAnsi="Times New Roman" w:cs="Times New Roman"/>
          <w:sz w:val="24"/>
          <w:szCs w:val="24"/>
        </w:rPr>
        <w:t>&amp; Özdemir, S. (2022). Selçuklu yapılarını süsleyen mitolojik v</w:t>
      </w:r>
      <w:r>
        <w:rPr>
          <w:rFonts w:ascii="Times New Roman" w:eastAsia="Times New Roman" w:hAnsi="Times New Roman" w:cs="Times New Roman"/>
          <w:sz w:val="24"/>
          <w:szCs w:val="24"/>
        </w:rPr>
        <w:t xml:space="preserve">arlıklar. </w:t>
      </w:r>
      <w:r>
        <w:rPr>
          <w:rFonts w:ascii="Times New Roman" w:eastAsia="Times New Roman" w:hAnsi="Times New Roman" w:cs="Times New Roman"/>
          <w:i/>
          <w:iCs/>
          <w:sz w:val="24"/>
          <w:szCs w:val="24"/>
        </w:rPr>
        <w:t>Journal of Social, Humanities and Administrative Sciences</w:t>
      </w:r>
      <w:r>
        <w:rPr>
          <w:rFonts w:ascii="Times New Roman" w:eastAsia="Times New Roman" w:hAnsi="Times New Roman" w:cs="Times New Roman"/>
          <w:sz w:val="24"/>
          <w:szCs w:val="24"/>
        </w:rPr>
        <w:t xml:space="preserve">, </w:t>
      </w:r>
      <w:r w:rsidRPr="00646E6A">
        <w:rPr>
          <w:rFonts w:ascii="Times New Roman" w:eastAsia="Times New Roman" w:hAnsi="Times New Roman" w:cs="Times New Roman"/>
          <w:i/>
          <w:sz w:val="24"/>
          <w:szCs w:val="24"/>
        </w:rPr>
        <w:t>8</w:t>
      </w:r>
      <w:r>
        <w:rPr>
          <w:rFonts w:ascii="Times New Roman" w:eastAsia="Times New Roman" w:hAnsi="Times New Roman" w:cs="Times New Roman"/>
          <w:sz w:val="24"/>
          <w:szCs w:val="24"/>
        </w:rPr>
        <w:t>(57), 1386-1406.</w:t>
      </w:r>
    </w:p>
    <w:p w:rsidR="00B57578" w:rsidRDefault="00DD58B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Okumura, S. (1998). Çintemani motifinin kökenleri, gelişimi ve kullanım alanları. </w:t>
      </w:r>
      <w:r>
        <w:rPr>
          <w:rFonts w:ascii="Times New Roman" w:eastAsia="Times New Roman" w:hAnsi="Times New Roman" w:cs="Times New Roman"/>
          <w:i/>
          <w:iCs/>
          <w:sz w:val="24"/>
          <w:szCs w:val="24"/>
        </w:rPr>
        <w:t>Yayımlanmamış Yüksek Lisans Tezi</w:t>
      </w:r>
      <w:r>
        <w:rPr>
          <w:rFonts w:ascii="Times New Roman" w:eastAsia="Times New Roman" w:hAnsi="Times New Roman" w:cs="Times New Roman"/>
          <w:sz w:val="24"/>
          <w:szCs w:val="24"/>
        </w:rPr>
        <w:t>. Marmara Üniversitesi Güzel Sanatlar Enstitüsü, İstanbul.</w:t>
      </w:r>
    </w:p>
    <w:p w:rsidR="00B57578" w:rsidRDefault="00DD58B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Ögel, B. (1995). </w:t>
      </w:r>
      <w:r>
        <w:rPr>
          <w:rFonts w:ascii="Times New Roman" w:eastAsia="Times New Roman" w:hAnsi="Times New Roman" w:cs="Times New Roman"/>
          <w:i/>
          <w:iCs/>
          <w:sz w:val="24"/>
          <w:szCs w:val="24"/>
        </w:rPr>
        <w:t xml:space="preserve">Türk mitolojisi (kaynakları ve açıklamaları ile destanlar) </w:t>
      </w:r>
      <w:proofErr w:type="gramStart"/>
      <w:r>
        <w:rPr>
          <w:rFonts w:ascii="Times New Roman" w:eastAsia="Times New Roman" w:hAnsi="Times New Roman" w:cs="Times New Roman"/>
          <w:i/>
          <w:iCs/>
          <w:sz w:val="24"/>
          <w:szCs w:val="24"/>
        </w:rPr>
        <w:t>II.cilt</w:t>
      </w:r>
      <w:proofErr w:type="gramEnd"/>
      <w:r>
        <w:rPr>
          <w:rFonts w:ascii="Times New Roman" w:eastAsia="Times New Roman" w:hAnsi="Times New Roman" w:cs="Times New Roman"/>
          <w:sz w:val="24"/>
          <w:szCs w:val="24"/>
        </w:rPr>
        <w:t>. Ankara: Türk Tarih Kurumu Basımevi.</w:t>
      </w:r>
    </w:p>
    <w:p w:rsidR="00B57578" w:rsidRDefault="00DD58B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Ögel, B. (2017). </w:t>
      </w:r>
      <w:r w:rsidR="00646E6A">
        <w:rPr>
          <w:rFonts w:ascii="Times New Roman" w:eastAsia="Times New Roman" w:hAnsi="Times New Roman" w:cs="Times New Roman"/>
          <w:i/>
          <w:iCs/>
          <w:sz w:val="24"/>
          <w:szCs w:val="24"/>
        </w:rPr>
        <w:t>Türklerde devlet a</w:t>
      </w:r>
      <w:r>
        <w:rPr>
          <w:rFonts w:ascii="Times New Roman" w:eastAsia="Times New Roman" w:hAnsi="Times New Roman" w:cs="Times New Roman"/>
          <w:i/>
          <w:iCs/>
          <w:sz w:val="24"/>
          <w:szCs w:val="24"/>
        </w:rPr>
        <w:t>nlayışı</w:t>
      </w:r>
      <w:r>
        <w:rPr>
          <w:rFonts w:ascii="Times New Roman" w:eastAsia="Times New Roman" w:hAnsi="Times New Roman" w:cs="Times New Roman"/>
          <w:sz w:val="24"/>
          <w:szCs w:val="24"/>
        </w:rPr>
        <w:t>. İstanbul: Ötüken.</w:t>
      </w:r>
    </w:p>
    <w:p w:rsidR="00B57578" w:rsidRDefault="00DD58B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Ölmez, M. (2018). </w:t>
      </w:r>
      <w:r>
        <w:rPr>
          <w:rFonts w:ascii="Times New Roman" w:eastAsia="Times New Roman" w:hAnsi="Times New Roman" w:cs="Times New Roman"/>
          <w:i/>
          <w:iCs/>
          <w:sz w:val="24"/>
          <w:szCs w:val="24"/>
        </w:rPr>
        <w:t>Uygur hakanlığı yazıtları</w:t>
      </w:r>
      <w:r>
        <w:rPr>
          <w:rFonts w:ascii="Times New Roman" w:eastAsia="Times New Roman" w:hAnsi="Times New Roman" w:cs="Times New Roman"/>
          <w:sz w:val="24"/>
          <w:szCs w:val="24"/>
        </w:rPr>
        <w:t>. Ankara: Bilgesu.</w:t>
      </w:r>
    </w:p>
    <w:p w:rsidR="00B57578" w:rsidRDefault="00DD58B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w:t>
      </w:r>
      <w:r w:rsidR="00646E6A">
        <w:rPr>
          <w:rFonts w:ascii="Times New Roman" w:eastAsia="Times New Roman" w:hAnsi="Times New Roman" w:cs="Times New Roman"/>
          <w:sz w:val="24"/>
          <w:szCs w:val="24"/>
        </w:rPr>
        <w:t>ney, G. (1969). Anadolu Selçuk sanatında ejder f</w:t>
      </w:r>
      <w:r>
        <w:rPr>
          <w:rFonts w:ascii="Times New Roman" w:eastAsia="Times New Roman" w:hAnsi="Times New Roman" w:cs="Times New Roman"/>
          <w:sz w:val="24"/>
          <w:szCs w:val="24"/>
        </w:rPr>
        <w:t>igürleri. </w:t>
      </w:r>
      <w:r>
        <w:rPr>
          <w:rFonts w:ascii="Times New Roman" w:eastAsia="Times New Roman" w:hAnsi="Times New Roman" w:cs="Times New Roman"/>
          <w:i/>
          <w:iCs/>
          <w:sz w:val="24"/>
          <w:szCs w:val="24"/>
        </w:rPr>
        <w:t>TTK Belleten</w:t>
      </w:r>
      <w:r>
        <w:rPr>
          <w:rFonts w:ascii="Times New Roman" w:eastAsia="Times New Roman" w:hAnsi="Times New Roman" w:cs="Times New Roman"/>
          <w:sz w:val="24"/>
          <w:szCs w:val="24"/>
        </w:rPr>
        <w:t xml:space="preserve">, </w:t>
      </w:r>
      <w:r w:rsidRPr="00646E6A">
        <w:rPr>
          <w:rFonts w:ascii="Times New Roman" w:eastAsia="Times New Roman" w:hAnsi="Times New Roman" w:cs="Times New Roman"/>
          <w:i/>
          <w:sz w:val="24"/>
          <w:szCs w:val="24"/>
        </w:rPr>
        <w:t>33</w:t>
      </w:r>
      <w:r>
        <w:rPr>
          <w:rFonts w:ascii="Times New Roman" w:eastAsia="Times New Roman" w:hAnsi="Times New Roman" w:cs="Times New Roman"/>
          <w:sz w:val="24"/>
          <w:szCs w:val="24"/>
        </w:rPr>
        <w:t>(130), 171-192.</w:t>
      </w:r>
    </w:p>
    <w:p w:rsidR="00C573A4" w:rsidRPr="00C573A4" w:rsidRDefault="00C573A4" w:rsidP="00C573A4">
      <w:pPr>
        <w:spacing w:before="0" w:after="0" w:line="360" w:lineRule="auto"/>
        <w:rPr>
          <w:rFonts w:ascii="Times New Roman" w:hAnsi="Times New Roman" w:cs="Times New Roman"/>
          <w:sz w:val="24"/>
          <w:szCs w:val="24"/>
        </w:rPr>
      </w:pPr>
      <w:r>
        <w:rPr>
          <w:rFonts w:ascii="Times New Roman" w:eastAsia="Times New Roman" w:hAnsi="Times New Roman" w:cs="Times New Roman"/>
          <w:color w:val="000000"/>
          <w:spacing w:val="-2"/>
          <w:sz w:val="24"/>
          <w:szCs w:val="24"/>
          <w:shd w:val="clear" w:color="auto" w:fill="FFFFFF"/>
        </w:rPr>
        <w:t>Ö</w:t>
      </w:r>
      <w:r w:rsidR="00366814">
        <w:rPr>
          <w:rFonts w:ascii="Times New Roman" w:eastAsia="Times New Roman" w:hAnsi="Times New Roman" w:cs="Times New Roman"/>
          <w:color w:val="000000"/>
          <w:spacing w:val="-2"/>
          <w:sz w:val="24"/>
          <w:szCs w:val="24"/>
          <w:shd w:val="clear" w:color="auto" w:fill="FFFFFF"/>
        </w:rPr>
        <w:t>ney, G.</w:t>
      </w:r>
      <w:bookmarkStart w:id="0" w:name="_GoBack"/>
      <w:bookmarkEnd w:id="0"/>
      <w:r>
        <w:rPr>
          <w:rFonts w:ascii="Times New Roman" w:eastAsia="Times New Roman" w:hAnsi="Times New Roman" w:cs="Times New Roman"/>
          <w:color w:val="000000"/>
          <w:spacing w:val="-2"/>
          <w:sz w:val="24"/>
          <w:szCs w:val="24"/>
          <w:shd w:val="clear" w:color="auto" w:fill="FFFFFF"/>
        </w:rPr>
        <w:t xml:space="preserve"> Seçuklu Figür Dünyası. D. Kuban (Haz.) </w:t>
      </w:r>
      <w:r>
        <w:rPr>
          <w:rFonts w:ascii="Times New Roman" w:eastAsia="Times New Roman" w:hAnsi="Times New Roman" w:cs="Times New Roman"/>
          <w:color w:val="000000"/>
          <w:spacing w:val="-1"/>
          <w:sz w:val="24"/>
          <w:szCs w:val="24"/>
          <w:shd w:val="clear" w:color="auto" w:fill="FFFFFF"/>
        </w:rPr>
        <w:t xml:space="preserve"> </w:t>
      </w:r>
      <w:r>
        <w:rPr>
          <w:rFonts w:ascii="Times New Roman" w:eastAsia="Times New Roman" w:hAnsi="Times New Roman" w:cs="Times New Roman"/>
          <w:i/>
          <w:color w:val="000000"/>
          <w:spacing w:val="-1"/>
          <w:sz w:val="24"/>
          <w:szCs w:val="24"/>
          <w:shd w:val="clear" w:color="auto" w:fill="FFFFFF"/>
        </w:rPr>
        <w:t>Anadolu Selçuklu Ça</w:t>
      </w:r>
      <w:r>
        <w:rPr>
          <w:rFonts w:ascii="Times New Roman" w:eastAsia="Times New Roman" w:hAnsi="Times New Roman" w:cs="Times New Roman"/>
          <w:i/>
          <w:color w:val="000000"/>
          <w:sz w:val="24"/>
          <w:szCs w:val="24"/>
          <w:shd w:val="clear" w:color="auto" w:fill="FFFFFF"/>
        </w:rPr>
        <w:t>ğı</w:t>
      </w:r>
      <w:r>
        <w:rPr>
          <w:rFonts w:ascii="Times New Roman" w:eastAsia="Times New Roman" w:hAnsi="Times New Roman" w:cs="Times New Roman"/>
          <w:i/>
          <w:color w:val="000000"/>
          <w:spacing w:val="-1"/>
          <w:sz w:val="24"/>
          <w:szCs w:val="24"/>
          <w:shd w:val="clear" w:color="auto" w:fill="FFFFFF"/>
        </w:rPr>
        <w:t>nda Anadolu Sanat</w:t>
      </w:r>
      <w:r>
        <w:rPr>
          <w:rFonts w:ascii="Times New Roman" w:eastAsia="Times New Roman" w:hAnsi="Times New Roman" w:cs="Times New Roman"/>
          <w:i/>
          <w:color w:val="000000"/>
          <w:sz w:val="24"/>
          <w:szCs w:val="24"/>
          <w:shd w:val="clear" w:color="auto" w:fill="FFFFFF"/>
        </w:rPr>
        <w:t>ı</w:t>
      </w:r>
      <w:r>
        <w:rPr>
          <w:rFonts w:ascii="Times New Roman" w:eastAsia="Times New Roman" w:hAnsi="Times New Roman" w:cs="Times New Roman"/>
          <w:color w:val="000000"/>
          <w:spacing w:val="-1"/>
          <w:sz w:val="24"/>
          <w:szCs w:val="24"/>
          <w:shd w:val="clear" w:color="auto" w:fill="FFFFFF"/>
        </w:rPr>
        <w:t xml:space="preserve"> içinde (s. 411-429). İstanbul: Yapı Kredi Yayınları.</w:t>
      </w:r>
    </w:p>
    <w:p w:rsidR="00B57578" w:rsidRDefault="00DD58B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Öz, T. (1951). </w:t>
      </w:r>
      <w:r w:rsidRPr="00C573A4">
        <w:rPr>
          <w:rFonts w:ascii="Times New Roman" w:eastAsia="Times New Roman" w:hAnsi="Times New Roman" w:cs="Times New Roman"/>
          <w:i/>
          <w:sz w:val="24"/>
          <w:szCs w:val="24"/>
        </w:rPr>
        <w:t>Türk kumaş ve kadifeleri cilt II</w:t>
      </w:r>
      <w:r>
        <w:rPr>
          <w:rFonts w:ascii="Times New Roman" w:eastAsia="Times New Roman" w:hAnsi="Times New Roman" w:cs="Times New Roman"/>
          <w:sz w:val="24"/>
          <w:szCs w:val="24"/>
        </w:rPr>
        <w:t>. İstanbul: Milli Eğitim Basımevi.</w:t>
      </w:r>
    </w:p>
    <w:p w:rsidR="00B57578" w:rsidRDefault="00DD58B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r w:rsidR="00646E6A">
        <w:rPr>
          <w:rFonts w:ascii="Times New Roman" w:eastAsia="Times New Roman" w:hAnsi="Times New Roman" w:cs="Times New Roman"/>
          <w:sz w:val="24"/>
          <w:szCs w:val="24"/>
        </w:rPr>
        <w:t>kin, B. B. (2006) Anadolu’daki bazı Hindu ve Budist kökenli m</w:t>
      </w:r>
      <w:r>
        <w:rPr>
          <w:rFonts w:ascii="Times New Roman" w:eastAsia="Times New Roman" w:hAnsi="Times New Roman" w:cs="Times New Roman"/>
          <w:sz w:val="24"/>
          <w:szCs w:val="24"/>
        </w:rPr>
        <w:t xml:space="preserve">otifer. T. Yazar (Edt.) </w:t>
      </w:r>
      <w:r>
        <w:rPr>
          <w:rFonts w:ascii="Times New Roman" w:eastAsia="Times New Roman" w:hAnsi="Times New Roman" w:cs="Times New Roman"/>
          <w:i/>
          <w:iCs/>
          <w:sz w:val="24"/>
          <w:szCs w:val="24"/>
        </w:rPr>
        <w:t>Sanatta Anadolu- Asya ilişkileri Prof. Dr. Beyhan Karamağaralı’ya armağan</w:t>
      </w:r>
      <w:r>
        <w:rPr>
          <w:rFonts w:ascii="Times New Roman" w:eastAsia="Times New Roman" w:hAnsi="Times New Roman" w:cs="Times New Roman"/>
          <w:sz w:val="24"/>
          <w:szCs w:val="24"/>
        </w:rPr>
        <w:t xml:space="preserve"> içinde (s. 418-430). Ankara: Hacettepe Üniversitesi Yayınları.</w:t>
      </w:r>
    </w:p>
    <w:p w:rsidR="00B57578" w:rsidRDefault="00DD58B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Tekin, T. (2019). </w:t>
      </w:r>
      <w:r w:rsidR="008E2F60">
        <w:rPr>
          <w:rFonts w:ascii="Times New Roman" w:eastAsia="Times New Roman" w:hAnsi="Times New Roman" w:cs="Times New Roman"/>
          <w:i/>
          <w:iCs/>
          <w:sz w:val="24"/>
          <w:szCs w:val="24"/>
        </w:rPr>
        <w:t>Orhon yazıtları: Kül Tigin, Bilge K</w:t>
      </w:r>
      <w:r>
        <w:rPr>
          <w:rFonts w:ascii="Times New Roman" w:eastAsia="Times New Roman" w:hAnsi="Times New Roman" w:cs="Times New Roman"/>
          <w:i/>
          <w:iCs/>
          <w:sz w:val="24"/>
          <w:szCs w:val="24"/>
        </w:rPr>
        <w:t>ağan, Tunyukuk</w:t>
      </w:r>
      <w:r>
        <w:rPr>
          <w:rFonts w:ascii="Times New Roman" w:eastAsia="Times New Roman" w:hAnsi="Times New Roman" w:cs="Times New Roman"/>
          <w:sz w:val="24"/>
          <w:szCs w:val="24"/>
        </w:rPr>
        <w:t>. Ankara: Bilgesu.</w:t>
      </w:r>
    </w:p>
    <w:p w:rsidR="00B57578" w:rsidRDefault="00B57578">
      <w:pPr>
        <w:spacing w:line="360" w:lineRule="auto"/>
        <w:rPr>
          <w:rFonts w:ascii="Times New Roman" w:eastAsia="Times New Roman" w:hAnsi="Times New Roman" w:cs="Times New Roman"/>
          <w:sz w:val="24"/>
          <w:szCs w:val="24"/>
        </w:rPr>
      </w:pPr>
    </w:p>
    <w:p w:rsidR="00B57578" w:rsidRDefault="00B57578">
      <w:pPr>
        <w:spacing w:before="240"/>
        <w:rPr>
          <w:rFonts w:ascii="Times New Roman" w:eastAsia="Times New Roman" w:hAnsi="Times New Roman" w:cs="Times New Roman"/>
          <w:b/>
          <w:bCs/>
          <w:sz w:val="24"/>
          <w:szCs w:val="24"/>
        </w:rPr>
      </w:pPr>
    </w:p>
    <w:p w:rsidR="00B57578" w:rsidRDefault="00B57578">
      <w:pPr>
        <w:spacing w:before="240"/>
        <w:rPr>
          <w:rFonts w:ascii="Times New Roman" w:eastAsia="Times New Roman" w:hAnsi="Times New Roman" w:cs="Times New Roman"/>
        </w:rPr>
      </w:pPr>
    </w:p>
    <w:p w:rsidR="00B57578" w:rsidRDefault="00B57578">
      <w:pPr>
        <w:rPr>
          <w:rFonts w:ascii="Times New Roman" w:eastAsia="Times New Roman" w:hAnsi="Times New Roman" w:cs="Times New Roman"/>
        </w:rPr>
      </w:pPr>
    </w:p>
    <w:sectPr w:rsidR="00B57578">
      <w:headerReference w:type="default" r:id="rId8"/>
      <w:headerReference w:type="first" r:id="rId9"/>
      <w:pgSz w:w="11906" w:h="16838"/>
      <w:pgMar w:top="1417" w:right="1417" w:bottom="1417" w:left="1417" w:header="0" w:footer="0" w:gutter="0"/>
      <w:pgNumType w:start="1"/>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723" w:rsidRDefault="00953723">
      <w:pPr>
        <w:spacing w:before="0" w:after="0"/>
      </w:pPr>
      <w:r>
        <w:separator/>
      </w:r>
    </w:p>
  </w:endnote>
  <w:endnote w:type="continuationSeparator" w:id="0">
    <w:p w:rsidR="00953723" w:rsidRDefault="0095372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A2"/>
    <w:family w:val="roman"/>
    <w:pitch w:val="variable"/>
    <w:sig w:usb0="E0000287" w:usb1="40000013" w:usb2="00000000" w:usb3="00000000" w:csb0="0000019F" w:csb1="00000000"/>
    <w:embedRegular r:id="rId1" w:fontKey="{6D5E08E5-01AF-44F5-9EA8-002782FAB857}"/>
    <w:embedBold r:id="rId2" w:fontKey="{C81F7402-3AD2-46E0-A034-B6A5031DBBCE}"/>
    <w:embedItalic r:id="rId3" w:fontKey="{60DE08FD-402B-4778-AE94-83B30D087D43}"/>
    <w:embedBoldItalic r:id="rId4" w:fontKey="{C0EF29AE-D10E-4058-A6C2-D10307F6ED88}"/>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5" w:fontKey="{934EF78E-D5A7-47F5-9F5B-E57DFBCAB25A}"/>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6" w:fontKey="{BCA3B85F-5926-4487-A86F-C7EB3F22B8A1}"/>
  </w:font>
  <w:font w:name="Cambria">
    <w:panose1 w:val="02040503050406030204"/>
    <w:charset w:val="A2"/>
    <w:family w:val="roman"/>
    <w:pitch w:val="variable"/>
    <w:sig w:usb0="E00006FF" w:usb1="420024FF" w:usb2="02000000" w:usb3="00000000" w:csb0="0000019F" w:csb1="00000000"/>
    <w:embedRegular r:id="rId7" w:fontKey="{2B5E387A-EE62-4725-A295-5AF8AEC324C4}"/>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723" w:rsidRDefault="00953723">
      <w:pPr>
        <w:spacing w:before="0" w:after="0"/>
      </w:pPr>
      <w:r>
        <w:separator/>
      </w:r>
    </w:p>
  </w:footnote>
  <w:footnote w:type="continuationSeparator" w:id="0">
    <w:p w:rsidR="00953723" w:rsidRDefault="00953723">
      <w:pPr>
        <w:spacing w:before="0" w:after="0"/>
      </w:pPr>
      <w:r>
        <w:continuationSeparator/>
      </w:r>
    </w:p>
  </w:footnote>
  <w:footnote w:id="1">
    <w:p w:rsidR="00B57578" w:rsidRDefault="00DD58B1">
      <w:pPr>
        <w:pBdr>
          <w:top w:val="nil"/>
          <w:left w:val="nil"/>
          <w:bottom w:val="nil"/>
          <w:right w:val="nil"/>
          <w:between w:val="nil"/>
        </w:pBdr>
        <w:spacing w:before="0" w:after="0"/>
        <w:rPr>
          <w:rFonts w:ascii="Times New Roman" w:eastAsia="Times New Roman" w:hAnsi="Times New Roman" w:cs="Times New Roman"/>
          <w:i/>
          <w:iCs/>
          <w:color w:val="000000"/>
          <w:sz w:val="20"/>
          <w:szCs w:val="20"/>
        </w:rPr>
      </w:pPr>
      <w:r>
        <w:rPr>
          <w:vertAlign w:val="superscript"/>
        </w:rPr>
        <w:footnoteRef/>
      </w:r>
      <w:r>
        <w:rPr>
          <w:rFonts w:ascii="Times New Roman" w:eastAsia="Times New Roman" w:hAnsi="Times New Roman" w:cs="Times New Roman"/>
          <w:i/>
          <w:iCs/>
          <w:color w:val="000000"/>
          <w:sz w:val="20"/>
          <w:szCs w:val="20"/>
        </w:rPr>
        <w:t xml:space="preserve"> Doktora öğrencisi, Özge Erden Güner, Bursa Olgunlaşma Enstitüsü, Tarih, Bursa, Türkiye, ozgeerdenguner@gmail.com</w:t>
      </w:r>
    </w:p>
  </w:footnote>
  <w:footnote w:id="2">
    <w:p w:rsidR="00B57578" w:rsidRDefault="00DD58B1">
      <w:pPr>
        <w:pBdr>
          <w:top w:val="nil"/>
          <w:left w:val="nil"/>
          <w:bottom w:val="nil"/>
          <w:right w:val="nil"/>
          <w:between w:val="nil"/>
        </w:pBdr>
        <w:spacing w:before="0" w:after="0"/>
        <w:rPr>
          <w:rFonts w:ascii="Times New Roman" w:eastAsia="Times New Roman" w:hAnsi="Times New Roman" w:cs="Times New Roman"/>
          <w:i/>
          <w:iCs/>
          <w:color w:val="000000"/>
          <w:sz w:val="20"/>
          <w:szCs w:val="20"/>
        </w:rPr>
      </w:pPr>
      <w:r>
        <w:rPr>
          <w:vertAlign w:val="superscript"/>
        </w:rPr>
        <w:footnoteRef/>
      </w:r>
      <w:r>
        <w:rPr>
          <w:rFonts w:ascii="Times New Roman" w:eastAsia="Times New Roman" w:hAnsi="Times New Roman" w:cs="Times New Roman"/>
          <w:i/>
          <w:iCs/>
          <w:color w:val="000000"/>
          <w:sz w:val="20"/>
          <w:szCs w:val="20"/>
        </w:rPr>
        <w:t xml:space="preserve"> Doktora öğrencisi, Elif Burcu Ulun, Bursa Olgunlaşma Enstitüsü, Edebiyat, Bursa, Türkiye, burcuulun@gmail.com.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578" w:rsidRDefault="00DD58B1">
    <w:pPr>
      <w:pBdr>
        <w:top w:val="nil"/>
        <w:left w:val="nil"/>
        <w:bottom w:val="nil"/>
        <w:right w:val="nil"/>
        <w:between w:val="nil"/>
      </w:pBdr>
      <w:tabs>
        <w:tab w:val="center" w:pos="4536"/>
        <w:tab w:val="right" w:pos="9072"/>
      </w:tabs>
      <w:spacing w:after="0"/>
      <w:rPr>
        <w:color w:val="000000"/>
      </w:rPr>
    </w:pPr>
    <w:r>
      <w:rPr>
        <w:noProof/>
        <w:lang w:val="tr-TR"/>
      </w:rPr>
      <w:drawing>
        <wp:anchor distT="0" distB="0" distL="114300" distR="114300" simplePos="0" relativeHeight="251658240" behindDoc="0" locked="0" layoutInCell="1" hidden="0" allowOverlap="1">
          <wp:simplePos x="0" y="0"/>
          <wp:positionH relativeFrom="column">
            <wp:posOffset>5179694</wp:posOffset>
          </wp:positionH>
          <wp:positionV relativeFrom="paragraph">
            <wp:posOffset>321945</wp:posOffset>
          </wp:positionV>
          <wp:extent cx="581025" cy="48641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1025" cy="486410"/>
                  </a:xfrm>
                  <a:prstGeom prst="rect">
                    <a:avLst/>
                  </a:prstGeom>
                  <a:ln/>
                </pic:spPr>
              </pic:pic>
            </a:graphicData>
          </a:graphic>
        </wp:anchor>
      </w:drawing>
    </w:r>
    <w:r>
      <w:rPr>
        <w:noProof/>
        <w:lang w:val="tr-TR"/>
      </w:rPr>
      <w:drawing>
        <wp:anchor distT="0" distB="0" distL="114300" distR="114300" simplePos="0" relativeHeight="251659264" behindDoc="0" locked="0" layoutInCell="1" hidden="0" allowOverlap="1">
          <wp:simplePos x="0" y="0"/>
          <wp:positionH relativeFrom="column">
            <wp:posOffset>2394902</wp:posOffset>
          </wp:positionH>
          <wp:positionV relativeFrom="paragraph">
            <wp:posOffset>457834</wp:posOffset>
          </wp:positionV>
          <wp:extent cx="970915" cy="374015"/>
          <wp:effectExtent l="0" t="0" r="0" b="0"/>
          <wp:wrapSquare wrapText="bothSides" distT="0" distB="0" distL="114300" distR="114300"/>
          <wp:docPr id="5" name="image5.png" descr="logo png"/>
          <wp:cNvGraphicFramePr/>
          <a:graphic xmlns:a="http://schemas.openxmlformats.org/drawingml/2006/main">
            <a:graphicData uri="http://schemas.openxmlformats.org/drawingml/2006/picture">
              <pic:pic xmlns:pic="http://schemas.openxmlformats.org/drawingml/2006/picture">
                <pic:nvPicPr>
                  <pic:cNvPr id="0" name="image5.png" descr="logo png"/>
                  <pic:cNvPicPr preferRelativeResize="0"/>
                </pic:nvPicPr>
                <pic:blipFill>
                  <a:blip r:embed="rId2"/>
                  <a:srcRect/>
                  <a:stretch>
                    <a:fillRect/>
                  </a:stretch>
                </pic:blipFill>
                <pic:spPr>
                  <a:xfrm>
                    <a:off x="0" y="0"/>
                    <a:ext cx="970915" cy="374015"/>
                  </a:xfrm>
                  <a:prstGeom prst="rect">
                    <a:avLst/>
                  </a:prstGeom>
                  <a:ln/>
                </pic:spPr>
              </pic:pic>
            </a:graphicData>
          </a:graphic>
        </wp:anchor>
      </w:drawing>
    </w:r>
    <w:r>
      <w:rPr>
        <w:noProof/>
        <w:lang w:val="tr-TR"/>
      </w:rPr>
      <w:drawing>
        <wp:anchor distT="0" distB="0" distL="114300" distR="114300" simplePos="0" relativeHeight="251660288" behindDoc="0" locked="0" layoutInCell="1" hidden="0" allowOverlap="1">
          <wp:simplePos x="0" y="0"/>
          <wp:positionH relativeFrom="column">
            <wp:posOffset>47626</wp:posOffset>
          </wp:positionH>
          <wp:positionV relativeFrom="paragraph">
            <wp:posOffset>326390</wp:posOffset>
          </wp:positionV>
          <wp:extent cx="533400" cy="554990"/>
          <wp:effectExtent l="0" t="0" r="0" b="0"/>
          <wp:wrapSquare wrapText="bothSides" distT="0" distB="0" distL="114300" distR="114300"/>
          <wp:docPr id="6" name="image3.png" descr="MEB"/>
          <wp:cNvGraphicFramePr/>
          <a:graphic xmlns:a="http://schemas.openxmlformats.org/drawingml/2006/main">
            <a:graphicData uri="http://schemas.openxmlformats.org/drawingml/2006/picture">
              <pic:pic xmlns:pic="http://schemas.openxmlformats.org/drawingml/2006/picture">
                <pic:nvPicPr>
                  <pic:cNvPr id="0" name="image3.png" descr="MEB"/>
                  <pic:cNvPicPr preferRelativeResize="0"/>
                </pic:nvPicPr>
                <pic:blipFill>
                  <a:blip r:embed="rId3"/>
                  <a:srcRect l="13364" r="10249"/>
                  <a:stretch>
                    <a:fillRect/>
                  </a:stretch>
                </pic:blipFill>
                <pic:spPr>
                  <a:xfrm>
                    <a:off x="0" y="0"/>
                    <a:ext cx="533400" cy="55499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578" w:rsidRDefault="00DD58B1">
    <w:pPr>
      <w:pBdr>
        <w:top w:val="nil"/>
        <w:left w:val="nil"/>
        <w:bottom w:val="nil"/>
        <w:right w:val="nil"/>
        <w:between w:val="nil"/>
      </w:pBdr>
      <w:tabs>
        <w:tab w:val="center" w:pos="4536"/>
        <w:tab w:val="right" w:pos="9072"/>
      </w:tabs>
      <w:spacing w:after="0"/>
      <w:jc w:val="center"/>
      <w:rPr>
        <w:color w:val="000000"/>
      </w:rPr>
    </w:pPr>
    <w:r>
      <w:rPr>
        <w:noProof/>
        <w:lang w:val="tr-TR"/>
      </w:rPr>
      <w:drawing>
        <wp:anchor distT="0" distB="0" distL="114300" distR="114300" simplePos="0" relativeHeight="251661312" behindDoc="0" locked="0" layoutInCell="1" hidden="0" allowOverlap="1">
          <wp:simplePos x="0" y="0"/>
          <wp:positionH relativeFrom="column">
            <wp:posOffset>5194935</wp:posOffset>
          </wp:positionH>
          <wp:positionV relativeFrom="paragraph">
            <wp:posOffset>325120</wp:posOffset>
          </wp:positionV>
          <wp:extent cx="581025" cy="48641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1025" cy="486410"/>
                  </a:xfrm>
                  <a:prstGeom prst="rect">
                    <a:avLst/>
                  </a:prstGeom>
                  <a:ln/>
                </pic:spPr>
              </pic:pic>
            </a:graphicData>
          </a:graphic>
        </wp:anchor>
      </w:drawing>
    </w:r>
    <w:r>
      <w:rPr>
        <w:noProof/>
        <w:lang w:val="tr-TR"/>
      </w:rPr>
      <w:drawing>
        <wp:anchor distT="0" distB="0" distL="114300" distR="114300" simplePos="0" relativeHeight="251662336" behindDoc="0" locked="0" layoutInCell="1" hidden="0" allowOverlap="1">
          <wp:simplePos x="0" y="0"/>
          <wp:positionH relativeFrom="column">
            <wp:posOffset>2405380</wp:posOffset>
          </wp:positionH>
          <wp:positionV relativeFrom="paragraph">
            <wp:posOffset>379730</wp:posOffset>
          </wp:positionV>
          <wp:extent cx="970915" cy="374015"/>
          <wp:effectExtent l="0" t="0" r="0" b="0"/>
          <wp:wrapSquare wrapText="bothSides" distT="0" distB="0" distL="114300" distR="114300"/>
          <wp:docPr id="7" name="image5.png" descr="logo png"/>
          <wp:cNvGraphicFramePr/>
          <a:graphic xmlns:a="http://schemas.openxmlformats.org/drawingml/2006/main">
            <a:graphicData uri="http://schemas.openxmlformats.org/drawingml/2006/picture">
              <pic:pic xmlns:pic="http://schemas.openxmlformats.org/drawingml/2006/picture">
                <pic:nvPicPr>
                  <pic:cNvPr id="0" name="image5.png" descr="logo png"/>
                  <pic:cNvPicPr preferRelativeResize="0"/>
                </pic:nvPicPr>
                <pic:blipFill>
                  <a:blip r:embed="rId2"/>
                  <a:srcRect/>
                  <a:stretch>
                    <a:fillRect/>
                  </a:stretch>
                </pic:blipFill>
                <pic:spPr>
                  <a:xfrm>
                    <a:off x="0" y="0"/>
                    <a:ext cx="970915" cy="374015"/>
                  </a:xfrm>
                  <a:prstGeom prst="rect">
                    <a:avLst/>
                  </a:prstGeom>
                  <a:ln/>
                </pic:spPr>
              </pic:pic>
            </a:graphicData>
          </a:graphic>
        </wp:anchor>
      </w:drawing>
    </w:r>
    <w:r>
      <w:rPr>
        <w:noProof/>
        <w:lang w:val="tr-TR"/>
      </w:rPr>
      <w:drawing>
        <wp:anchor distT="0" distB="0" distL="114300" distR="114300" simplePos="0" relativeHeight="251663360" behindDoc="0" locked="0" layoutInCell="1" hidden="0" allowOverlap="1">
          <wp:simplePos x="0" y="0"/>
          <wp:positionH relativeFrom="column">
            <wp:posOffset>1</wp:posOffset>
          </wp:positionH>
          <wp:positionV relativeFrom="paragraph">
            <wp:posOffset>256540</wp:posOffset>
          </wp:positionV>
          <wp:extent cx="533400" cy="554990"/>
          <wp:effectExtent l="0" t="0" r="0" b="0"/>
          <wp:wrapSquare wrapText="bothSides" distT="0" distB="0" distL="114300" distR="114300"/>
          <wp:docPr id="3" name="image3.png" descr="MEB"/>
          <wp:cNvGraphicFramePr/>
          <a:graphic xmlns:a="http://schemas.openxmlformats.org/drawingml/2006/main">
            <a:graphicData uri="http://schemas.openxmlformats.org/drawingml/2006/picture">
              <pic:pic xmlns:pic="http://schemas.openxmlformats.org/drawingml/2006/picture">
                <pic:nvPicPr>
                  <pic:cNvPr id="0" name="image3.png" descr="MEB"/>
                  <pic:cNvPicPr preferRelativeResize="0"/>
                </pic:nvPicPr>
                <pic:blipFill>
                  <a:blip r:embed="rId3"/>
                  <a:srcRect l="13364" r="10249"/>
                  <a:stretch>
                    <a:fillRect/>
                  </a:stretch>
                </pic:blipFill>
                <pic:spPr>
                  <a:xfrm>
                    <a:off x="0" y="0"/>
                    <a:ext cx="533400" cy="5549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578"/>
    <w:rsid w:val="00162C4D"/>
    <w:rsid w:val="001A553E"/>
    <w:rsid w:val="002E7693"/>
    <w:rsid w:val="00307D58"/>
    <w:rsid w:val="00366814"/>
    <w:rsid w:val="00447748"/>
    <w:rsid w:val="00461863"/>
    <w:rsid w:val="004823B1"/>
    <w:rsid w:val="0057507C"/>
    <w:rsid w:val="00646E6A"/>
    <w:rsid w:val="00717904"/>
    <w:rsid w:val="00773FC7"/>
    <w:rsid w:val="008E2F60"/>
    <w:rsid w:val="00907155"/>
    <w:rsid w:val="00953723"/>
    <w:rsid w:val="00994563"/>
    <w:rsid w:val="00A655C2"/>
    <w:rsid w:val="00B57578"/>
    <w:rsid w:val="00C573A4"/>
    <w:rsid w:val="00DD58B1"/>
    <w:rsid w:val="00E108C5"/>
    <w:rsid w:val="00FE56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69E5E"/>
  <w15:docId w15:val="{71A4CAAE-BF8B-4DEF-9CC2-C2B0FB764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Palatino Linotype" w:hAnsi="Palatino Linotype" w:cs="Palatino Linotype"/>
        <w:sz w:val="22"/>
        <w:szCs w:val="22"/>
        <w:lang w:val="tr" w:eastAsia="tr-TR" w:bidi="ar-SA"/>
      </w:rPr>
    </w:rPrDefault>
    <w:pPrDefault>
      <w:pPr>
        <w:spacing w:before="120" w:after="120"/>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240"/>
      <w:ind w:firstLine="0"/>
      <w:jc w:val="left"/>
      <w:outlineLvl w:val="0"/>
    </w:pPr>
    <w:rPr>
      <w:b/>
      <w:bCs/>
    </w:rPr>
  </w:style>
  <w:style w:type="paragraph" w:styleId="Balk2">
    <w:name w:val="heading 2"/>
    <w:basedOn w:val="Normal"/>
    <w:next w:val="Normal"/>
    <w:pPr>
      <w:keepNext/>
      <w:keepLines/>
      <w:spacing w:before="240"/>
      <w:ind w:firstLine="0"/>
      <w:outlineLvl w:val="1"/>
    </w:pPr>
    <w:rPr>
      <w:b/>
      <w:bCs/>
    </w:rPr>
  </w:style>
  <w:style w:type="paragraph" w:styleId="Balk3">
    <w:name w:val="heading 3"/>
    <w:basedOn w:val="Normal"/>
    <w:next w:val="Normal"/>
    <w:pPr>
      <w:keepNext/>
      <w:keepLines/>
      <w:spacing w:before="240"/>
      <w:outlineLvl w:val="2"/>
    </w:pPr>
    <w:rPr>
      <w:b/>
      <w:bCs/>
    </w:rPr>
  </w:style>
  <w:style w:type="paragraph" w:styleId="Balk4">
    <w:name w:val="heading 4"/>
    <w:basedOn w:val="Normal"/>
    <w:next w:val="Normal"/>
    <w:pPr>
      <w:keepNext/>
      <w:keepLines/>
      <w:spacing w:before="240"/>
      <w:jc w:val="left"/>
      <w:outlineLvl w:val="3"/>
    </w:pPr>
    <w:rPr>
      <w:b/>
      <w:bCs/>
      <w:i/>
      <w:iCs/>
    </w:rPr>
  </w:style>
  <w:style w:type="paragraph" w:styleId="Balk5">
    <w:name w:val="heading 5"/>
    <w:basedOn w:val="Normal"/>
    <w:next w:val="Normal"/>
    <w:pPr>
      <w:keepNext/>
      <w:keepLines/>
      <w:spacing w:before="0" w:after="0"/>
      <w:ind w:firstLine="0"/>
      <w:outlineLvl w:val="4"/>
    </w:pPr>
    <w:rPr>
      <w:sz w:val="20"/>
      <w:szCs w:val="20"/>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spacing w:before="360" w:after="360"/>
      <w:jc w:val="center"/>
    </w:pPr>
    <w:rPr>
      <w:b/>
      <w:bCs/>
      <w:sz w:val="28"/>
      <w:szCs w:val="28"/>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10</Pages>
  <Words>3402</Words>
  <Characters>19398</Characters>
  <Application>Microsoft Office Word</Application>
  <DocSecurity>0</DocSecurity>
  <Lines>161</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91</cp:revision>
  <dcterms:created xsi:type="dcterms:W3CDTF">2026-04-16T06:14:00Z</dcterms:created>
  <dcterms:modified xsi:type="dcterms:W3CDTF">2026-04-16T08:45:00Z</dcterms:modified>
</cp:coreProperties>
</file>