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59B19839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A95BC30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A8B5EF8" wp14:editId="1FC6F6A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152C8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544434E9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EFEAC18" w14:textId="77777777" w:rsidR="009878FE" w:rsidRPr="00B1760F" w:rsidRDefault="009878FE" w:rsidP="009878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Yoruk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Aesthetics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in Kirkit-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Beaten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Weavings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Toprakkale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Düziçi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Regions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Readings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Color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Motif</w:t>
            </w:r>
          </w:p>
          <w:p w14:paraId="41F2A8B2" w14:textId="77777777" w:rsidR="009878FE" w:rsidRPr="00A45E2E" w:rsidRDefault="009878FE" w:rsidP="009878F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Öğr.Gör.Emel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Çenet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1952DA8B" w14:textId="7F688203" w:rsidR="009878FE" w:rsidRPr="00A45E2E" w:rsidRDefault="009878FE" w:rsidP="00B176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Hamide Soysal Demirci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0DDC375A" w14:textId="07D643C6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0F412DD3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7AEB7D8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4CFB434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B1760F" w14:paraId="38023694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3D7A275" w14:textId="37327340" w:rsidR="009878FE" w:rsidRPr="00B1760F" w:rsidRDefault="009878FE" w:rsidP="0001242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Anatolian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 is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powerful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visual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languages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which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nomadic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communities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symbolize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nature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beliefs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structures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Located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strategic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points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Çukurova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Toprakkale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Düziçi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districts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Osmaniye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possess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rich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kirkit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beaten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carpets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kilims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saddlebags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storage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as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historically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settlement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highland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(yayla)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routes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Yoruk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Avshar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tribes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paper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aims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analyze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character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region's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kirkit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beaten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interdisciplinary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perspective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focusing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color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preferences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typology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28034FF" w14:textId="77777777" w:rsidR="009878FE" w:rsidRPr="00B1760F" w:rsidRDefault="009878FE" w:rsidP="0001242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scope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authentic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samples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collected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Toprakkale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Düziçi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regions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examined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particular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emphasis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decisive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role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kirkit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comb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beating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technique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density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pattern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clarity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discussed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how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frequently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encountered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motifs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such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çengel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hook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göz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akrep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scorpion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sinek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)—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Yoruks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struggle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nature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their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instinct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protection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into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form.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Furthermore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counterparts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colors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"al"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), "gök"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blue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"püren"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yellow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)—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which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reflect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warm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climate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Çukurova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vitality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Yoruk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spirit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natural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dyes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madder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root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dyes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identified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compositional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hierarchy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established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these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colors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motifs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deciphered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B7E1A51" w14:textId="77777777" w:rsidR="009878FE" w:rsidRPr="00B1760F" w:rsidRDefault="009878FE" w:rsidP="0001242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Prepared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examination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samples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collections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intends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17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kirkit</w:t>
            </w:r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beaten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Osmaniye not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merely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handicraft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but as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tangible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documents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intangible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heritage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Yoruk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understanding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reaching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present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day</w:t>
            </w:r>
            <w:proofErr w:type="spellEnd"/>
            <w:r w:rsidRPr="00B176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2879F97" w14:textId="58EDBF7A" w:rsidR="00C06855" w:rsidRPr="00B1760F" w:rsidRDefault="00C06855" w:rsidP="0001242D">
            <w:pPr>
              <w:pStyle w:val="AralkYok"/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B1760F" w14:paraId="0CD01C06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7F4939F" w14:textId="35E3D86B" w:rsidR="00C06855" w:rsidRPr="00B1760F" w:rsidRDefault="00C06855" w:rsidP="0001242D">
            <w:pPr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proofErr w:type="spellStart"/>
            <w:r w:rsidRPr="00B176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B176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Osmaniye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Weavings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Toprakkale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, Düziçi, Kirkit-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Beaten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Weaving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Yoruk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Aesthetics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, Motif </w:t>
            </w:r>
            <w:proofErr w:type="spellStart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Symbolism</w:t>
            </w:r>
            <w:proofErr w:type="spellEnd"/>
            <w:r w:rsidR="009878FE" w:rsidRPr="00B176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.</w:t>
            </w:r>
          </w:p>
        </w:tc>
      </w:tr>
    </w:tbl>
    <w:p w14:paraId="26CFBCD1" w14:textId="77777777" w:rsidR="00365790" w:rsidRPr="00B1760F" w:rsidRDefault="00365790" w:rsidP="0001242D">
      <w:pPr>
        <w:rPr>
          <w:sz w:val="24"/>
          <w:szCs w:val="24"/>
        </w:rPr>
      </w:pPr>
    </w:p>
    <w:sectPr w:rsidR="00365790" w:rsidRPr="00B176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8743" w14:textId="77777777" w:rsidR="00C06855" w:rsidRDefault="00C06855" w:rsidP="00C06855">
      <w:pPr>
        <w:spacing w:before="0" w:after="0"/>
      </w:pPr>
      <w:r>
        <w:separator/>
      </w:r>
    </w:p>
  </w:endnote>
  <w:endnote w:type="continuationSeparator" w:id="0">
    <w:p w14:paraId="1F47CFE8" w14:textId="77777777" w:rsidR="00C06855" w:rsidRDefault="00C0685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5FF5" w14:textId="77777777" w:rsidR="00C06855" w:rsidRDefault="00C06855" w:rsidP="00C06855">
      <w:pPr>
        <w:spacing w:before="0" w:after="0"/>
      </w:pPr>
      <w:r>
        <w:separator/>
      </w:r>
    </w:p>
  </w:footnote>
  <w:footnote w:type="continuationSeparator" w:id="0">
    <w:p w14:paraId="01EA7A94" w14:textId="77777777" w:rsidR="00C06855" w:rsidRDefault="00C06855" w:rsidP="00C06855">
      <w:pPr>
        <w:spacing w:before="0" w:after="0"/>
      </w:pPr>
      <w:r>
        <w:continuationSeparator/>
      </w:r>
    </w:p>
  </w:footnote>
  <w:footnote w:id="1">
    <w:p w14:paraId="1A96B687" w14:textId="77777777" w:rsidR="009878FE" w:rsidRPr="00434B66" w:rsidRDefault="009878FE" w:rsidP="009878FE">
      <w:pPr>
        <w:pStyle w:val="DipnotMetni"/>
        <w:rPr>
          <w:rFonts w:ascii="Times New Roman" w:hAnsi="Times New Roman" w:cs="Times New Roman"/>
          <w:i/>
          <w:iCs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Öğr.Gör</w:t>
      </w:r>
      <w:proofErr w:type="spellEnd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Emel Çenet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Yozgat Bozok</w:t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9F553C">
        <w:rPr>
          <w:rFonts w:ascii="Times New Roman" w:hAnsi="Times New Roman" w:cs="Times New Roman"/>
          <w:i/>
        </w:rPr>
        <w:t>Üniversite</w:t>
      </w:r>
      <w:r>
        <w:rPr>
          <w:rFonts w:ascii="Times New Roman" w:hAnsi="Times New Roman" w:cs="Times New Roman"/>
          <w:i/>
        </w:rPr>
        <w:t>si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>Geleneksel</w:t>
      </w:r>
      <w:proofErr w:type="spellEnd"/>
      <w:r>
        <w:rPr>
          <w:rFonts w:ascii="Times New Roman" w:hAnsi="Times New Roman" w:cs="Times New Roman"/>
          <w:i/>
        </w:rPr>
        <w:t xml:space="preserve"> El Sanatları</w:t>
      </w:r>
      <w:r w:rsidRPr="009F553C">
        <w:rPr>
          <w:rFonts w:ascii="Times New Roman" w:hAnsi="Times New Roman" w:cs="Times New Roman"/>
          <w:i/>
        </w:rPr>
        <w:t xml:space="preserve"> , </w:t>
      </w:r>
      <w:r>
        <w:rPr>
          <w:rFonts w:ascii="Times New Roman" w:hAnsi="Times New Roman" w:cs="Times New Roman"/>
          <w:i/>
        </w:rPr>
        <w:t xml:space="preserve">   emel.cenet@bozok.edu.tr.</w:t>
      </w:r>
    </w:p>
  </w:footnote>
  <w:footnote w:id="2">
    <w:p w14:paraId="22E51D14" w14:textId="77777777" w:rsidR="009878FE" w:rsidRPr="009F553C" w:rsidRDefault="009878FE" w:rsidP="009878FE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Öğr.Gör</w:t>
      </w:r>
      <w:proofErr w:type="spellEnd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Hamide Soysal Demirci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Yozgat Bozok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Geleneksel El Sanatları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h.aklimasoysal@yobu.edu.tr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6F51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2677989" wp14:editId="66AE52EF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8B096AE" wp14:editId="399174B7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C3772B7" wp14:editId="16388EF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1242D"/>
    <w:rsid w:val="001203FE"/>
    <w:rsid w:val="00153814"/>
    <w:rsid w:val="002904E6"/>
    <w:rsid w:val="00365790"/>
    <w:rsid w:val="00951FB4"/>
    <w:rsid w:val="009878FE"/>
    <w:rsid w:val="00B1760F"/>
    <w:rsid w:val="00C06855"/>
    <w:rsid w:val="00DA7410"/>
    <w:rsid w:val="00D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9B56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paragraph" w:styleId="NormalWeb">
    <w:name w:val="Normal (Web)"/>
    <w:basedOn w:val="Normal"/>
    <w:uiPriority w:val="99"/>
    <w:semiHidden/>
    <w:unhideWhenUsed/>
    <w:rsid w:val="009878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Hamide Soysal Demirci</cp:lastModifiedBy>
  <cp:revision>5</cp:revision>
  <dcterms:created xsi:type="dcterms:W3CDTF">2026-03-01T19:06:00Z</dcterms:created>
  <dcterms:modified xsi:type="dcterms:W3CDTF">2026-03-01T19:32:00Z</dcterms:modified>
</cp:coreProperties>
</file>