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DC" w:rsidRPr="004258DC" w:rsidRDefault="004258DC" w:rsidP="00425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Motif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Limits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Narrative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>: An Evaluation on "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of My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7D7650" w:rsidRDefault="004258DC" w:rsidP="004258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in Halit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Ziya's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repetition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motif in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motif is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as an element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repeats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directs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Beyond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architectural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element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visible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an element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narrator's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life of a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couple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transmitted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watched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closing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narrator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looks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wonders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expresses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chooses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curiosity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life,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decisive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ceases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be an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main motif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visible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framed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narrator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penetrate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"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draws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repetition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closing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reinforces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motif.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begins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appears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ends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assumes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directs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as a motif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draw</w:t>
      </w:r>
      <w:bookmarkStart w:id="0" w:name="_GoBack"/>
      <w:bookmarkEnd w:id="0"/>
      <w:r w:rsidRPr="004258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sz w:val="24"/>
          <w:szCs w:val="24"/>
        </w:rPr>
        <w:t>boundaries</w:t>
      </w:r>
      <w:proofErr w:type="spellEnd"/>
      <w:r w:rsidRPr="004258DC">
        <w:rPr>
          <w:rFonts w:ascii="Times New Roman" w:hAnsi="Times New Roman" w:cs="Times New Roman"/>
          <w:sz w:val="24"/>
          <w:szCs w:val="24"/>
        </w:rPr>
        <w:t>.</w:t>
      </w:r>
    </w:p>
    <w:p w:rsidR="004258DC" w:rsidRPr="004258DC" w:rsidRDefault="004258DC" w:rsidP="004258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425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8DC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Halit Ziya,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>, motif.</w:t>
      </w:r>
    </w:p>
    <w:sectPr w:rsidR="004258DC" w:rsidRPr="0042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D9"/>
    <w:rsid w:val="004258DC"/>
    <w:rsid w:val="005347D9"/>
    <w:rsid w:val="007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528C"/>
  <w15:chartTrackingRefBased/>
  <w15:docId w15:val="{CC89E8FC-E8B9-41B8-8BFA-EA0FCB2F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2026-02-28T15:33:00Z</dcterms:created>
  <dcterms:modified xsi:type="dcterms:W3CDTF">2026-02-28T15:33:00Z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a9bccb94-4e09-44af-ba97-2891e2e8116a</vt:lpwstr>
  </property>
</Properties>
</file>