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rsidTr="00161E6D">
        <w:trPr>
          <w:trHeight w:val="1962"/>
        </w:trPr>
        <w:tc>
          <w:tcPr>
            <w:tcW w:w="9286" w:type="dxa"/>
            <w:gridSpan w:val="2"/>
            <w:tcBorders>
              <w:top w:val="single" w:sz="2" w:space="0" w:color="663300"/>
              <w:bottom w:val="single" w:sz="2" w:space="0" w:color="663300"/>
            </w:tcBorders>
            <w:vAlign w:val="bottom"/>
          </w:tcPr>
          <w:p w:rsidR="00C06855" w:rsidRDefault="00C06855" w:rsidP="003956FB">
            <w:pPr>
              <w:spacing w:before="0" w:after="0" w:line="360" w:lineRule="auto"/>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55" w:rsidRPr="008C53F4" w:rsidRDefault="00C06855" w:rsidP="003956FB">
            <w:pPr>
              <w:spacing w:before="0" w:after="0" w:line="360" w:lineRule="auto"/>
              <w:ind w:firstLine="0"/>
              <w:rPr>
                <w:rFonts w:ascii="Times New Roman" w:hAnsi="Times New Roman" w:cs="Times New Roman"/>
                <w:sz w:val="28"/>
              </w:rPr>
            </w:pPr>
          </w:p>
        </w:tc>
      </w:tr>
      <w:tr w:rsidR="00C06855" w:rsidRPr="008C53F4" w:rsidTr="00161E6D">
        <w:trPr>
          <w:trHeight w:val="991"/>
        </w:trPr>
        <w:tc>
          <w:tcPr>
            <w:tcW w:w="9286" w:type="dxa"/>
            <w:gridSpan w:val="2"/>
            <w:tcBorders>
              <w:top w:val="single" w:sz="2" w:space="0" w:color="663300"/>
              <w:bottom w:val="single" w:sz="2" w:space="0" w:color="663300"/>
            </w:tcBorders>
            <w:vAlign w:val="center"/>
          </w:tcPr>
          <w:p w:rsidR="003209F1" w:rsidRDefault="003209F1" w:rsidP="003956FB">
            <w:pPr>
              <w:spacing w:before="0" w:after="0" w:line="360" w:lineRule="auto"/>
              <w:ind w:firstLine="0"/>
              <w:jc w:val="center"/>
              <w:rPr>
                <w:rFonts w:ascii="Times New Roman" w:eastAsiaTheme="majorEastAsia" w:hAnsi="Times New Roman" w:cs="Times New Roman"/>
                <w:b/>
                <w:sz w:val="24"/>
                <w:szCs w:val="24"/>
              </w:rPr>
            </w:pPr>
            <w:r w:rsidRPr="003209F1">
              <w:rPr>
                <w:rFonts w:ascii="Times New Roman" w:eastAsiaTheme="majorEastAsia" w:hAnsi="Times New Roman" w:cs="Times New Roman"/>
                <w:b/>
                <w:sz w:val="24"/>
                <w:szCs w:val="24"/>
              </w:rPr>
              <w:t>Cultural Transmission and Continuity at the Level of Meaning in Weaving Motifs in Tarsus</w:t>
            </w:r>
          </w:p>
          <w:p w:rsidR="00C06855" w:rsidRPr="003F52A3" w:rsidRDefault="003F52A3" w:rsidP="003956FB">
            <w:pPr>
              <w:spacing w:before="0" w:after="0" w:line="360" w:lineRule="auto"/>
              <w:ind w:firstLine="0"/>
              <w:jc w:val="center"/>
              <w:rPr>
                <w:rFonts w:ascii="Times New Roman" w:hAnsi="Times New Roman" w:cs="Times New Roman"/>
                <w:b/>
                <w:sz w:val="28"/>
              </w:rPr>
            </w:pPr>
            <w:r>
              <w:rPr>
                <w:rFonts w:ascii="Times New Roman" w:hAnsi="Times New Roman" w:cs="Times New Roman"/>
                <w:b/>
                <w:sz w:val="24"/>
              </w:rPr>
              <w:t>Emine Bağcı</w:t>
            </w:r>
            <w:r w:rsidR="00C06855" w:rsidRPr="00C06855">
              <w:rPr>
                <w:rStyle w:val="DipnotBavurusu"/>
                <w:rFonts w:ascii="Times New Roman" w:hAnsi="Times New Roman" w:cs="Times New Roman"/>
                <w:b/>
                <w:sz w:val="24"/>
              </w:rPr>
              <w:footnoteReference w:id="1"/>
            </w:r>
          </w:p>
        </w:tc>
      </w:tr>
      <w:tr w:rsidR="00C06855" w:rsidRPr="008C53F4" w:rsidTr="00161E6D">
        <w:trPr>
          <w:trHeight w:val="524"/>
        </w:trPr>
        <w:tc>
          <w:tcPr>
            <w:tcW w:w="5637" w:type="dxa"/>
            <w:tcBorders>
              <w:top w:val="single" w:sz="2" w:space="0" w:color="663300"/>
              <w:bottom w:val="single" w:sz="2" w:space="0" w:color="663300"/>
            </w:tcBorders>
            <w:vAlign w:val="bottom"/>
          </w:tcPr>
          <w:p w:rsidR="00C06855" w:rsidRPr="00C06855" w:rsidRDefault="00C06855" w:rsidP="003956FB">
            <w:pPr>
              <w:spacing w:before="0" w:after="0" w:line="360" w:lineRule="auto"/>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rsidR="00C06855" w:rsidRPr="003566EF" w:rsidRDefault="00C06855" w:rsidP="003956FB">
            <w:pPr>
              <w:spacing w:before="0" w:after="0" w:line="360" w:lineRule="auto"/>
              <w:jc w:val="right"/>
              <w:rPr>
                <w:rFonts w:ascii="Times New Roman" w:hAnsi="Times New Roman" w:cs="Times New Roman"/>
                <w:b/>
                <w:sz w:val="24"/>
                <w:szCs w:val="24"/>
              </w:rPr>
            </w:pPr>
          </w:p>
        </w:tc>
      </w:tr>
      <w:tr w:rsidR="00C06855" w:rsidRPr="008C53F4" w:rsidTr="00161E6D">
        <w:trPr>
          <w:trHeight w:val="5170"/>
        </w:trPr>
        <w:tc>
          <w:tcPr>
            <w:tcW w:w="9286" w:type="dxa"/>
            <w:gridSpan w:val="2"/>
            <w:tcBorders>
              <w:top w:val="single" w:sz="2" w:space="0" w:color="663300"/>
              <w:bottom w:val="single" w:sz="2" w:space="0" w:color="663300"/>
            </w:tcBorders>
            <w:vAlign w:val="center"/>
          </w:tcPr>
          <w:p w:rsidR="003F52A3" w:rsidRPr="003F52A3" w:rsidRDefault="003F52A3" w:rsidP="003956FB">
            <w:pPr>
              <w:pStyle w:val="AralkYok"/>
              <w:spacing w:before="0" w:after="0" w:line="360" w:lineRule="auto"/>
              <w:rPr>
                <w:rFonts w:ascii="Times New Roman" w:hAnsi="Times New Roman" w:cs="Times New Roman"/>
                <w:sz w:val="24"/>
                <w:szCs w:val="24"/>
              </w:rPr>
            </w:pPr>
            <w:r w:rsidRPr="003F52A3">
              <w:rPr>
                <w:rFonts w:ascii="Times New Roman" w:hAnsi="Times New Roman" w:cs="Times New Roman"/>
                <w:sz w:val="24"/>
                <w:szCs w:val="24"/>
              </w:rPr>
              <w:t>Anatolian weaving motifs continue to exist as carriers of collective memory and cultural identity. This study aims to examine the process of cultural transmission and continuity at the level of meaning of widely used weaving motifs in Tarsus within the context of circulation. Based on preliminary interviews, the study discusses how the symbolic meanings of motifs are maintained as they move from the sphere of production into the sp</w:t>
            </w:r>
            <w:r>
              <w:rPr>
                <w:rFonts w:ascii="Times New Roman" w:hAnsi="Times New Roman" w:cs="Times New Roman"/>
                <w:sz w:val="24"/>
                <w:szCs w:val="24"/>
              </w:rPr>
              <w:t>here of commercial circulation.</w:t>
            </w:r>
          </w:p>
          <w:p w:rsidR="003F52A3" w:rsidRPr="003F52A3" w:rsidRDefault="003F52A3" w:rsidP="003956FB">
            <w:pPr>
              <w:pStyle w:val="AralkYok"/>
              <w:spacing w:before="0" w:after="0" w:line="360" w:lineRule="auto"/>
              <w:rPr>
                <w:rFonts w:ascii="Times New Roman" w:hAnsi="Times New Roman" w:cs="Times New Roman"/>
                <w:sz w:val="24"/>
                <w:szCs w:val="24"/>
              </w:rPr>
            </w:pPr>
            <w:r w:rsidRPr="003F52A3">
              <w:rPr>
                <w:rFonts w:ascii="Times New Roman" w:hAnsi="Times New Roman" w:cs="Times New Roman"/>
                <w:sz w:val="24"/>
                <w:szCs w:val="24"/>
              </w:rPr>
              <w:t xml:space="preserve">A qualitative research approach has been adopted, and preliminary interviews conducted with two weaving sellers operating in Tarsus have been analyzed. It has been observed that sellers obtain woven products (such as saddlebags, rugs, socks, and printed textiles) from local producers and offer them for circulation in their shops. Through conversations with motif producers, sellers learn the meanings associated with motifs such as </w:t>
            </w:r>
            <w:r w:rsidRPr="00920A58">
              <w:rPr>
                <w:rFonts w:ascii="Times New Roman" w:hAnsi="Times New Roman" w:cs="Times New Roman"/>
                <w:i/>
                <w:sz w:val="24"/>
                <w:szCs w:val="24"/>
              </w:rPr>
              <w:t>elibelinde</w:t>
            </w:r>
            <w:r w:rsidRPr="003F52A3">
              <w:rPr>
                <w:rFonts w:ascii="Times New Roman" w:hAnsi="Times New Roman" w:cs="Times New Roman"/>
                <w:sz w:val="24"/>
                <w:szCs w:val="24"/>
              </w:rPr>
              <w:t xml:space="preserve"> (a stylized female figure symbolizing fertility), </w:t>
            </w:r>
            <w:bookmarkStart w:id="0" w:name="_GoBack"/>
            <w:r w:rsidRPr="00920A58">
              <w:rPr>
                <w:rFonts w:ascii="Times New Roman" w:hAnsi="Times New Roman" w:cs="Times New Roman"/>
                <w:i/>
                <w:sz w:val="24"/>
                <w:szCs w:val="24"/>
              </w:rPr>
              <w:t>koç</w:t>
            </w:r>
            <w:bookmarkEnd w:id="0"/>
            <w:r w:rsidRPr="003F52A3">
              <w:rPr>
                <w:rFonts w:ascii="Times New Roman" w:hAnsi="Times New Roman" w:cs="Times New Roman"/>
                <w:sz w:val="24"/>
                <w:szCs w:val="24"/>
              </w:rPr>
              <w:t xml:space="preserve"> (ram), and </w:t>
            </w:r>
            <w:r w:rsidRPr="00920A58">
              <w:rPr>
                <w:rFonts w:ascii="Times New Roman" w:hAnsi="Times New Roman" w:cs="Times New Roman"/>
                <w:i/>
                <w:sz w:val="24"/>
                <w:szCs w:val="24"/>
              </w:rPr>
              <w:t xml:space="preserve">bıtırak </w:t>
            </w:r>
            <w:r w:rsidRPr="003F52A3">
              <w:rPr>
                <w:rFonts w:ascii="Times New Roman" w:hAnsi="Times New Roman" w:cs="Times New Roman"/>
                <w:sz w:val="24"/>
                <w:szCs w:val="24"/>
              </w:rPr>
              <w:t xml:space="preserve">(burr), as well as </w:t>
            </w:r>
            <w:r w:rsidR="00920A58" w:rsidRPr="00920A58">
              <w:rPr>
                <w:rFonts w:ascii="Times New Roman" w:hAnsi="Times New Roman" w:cs="Times New Roman"/>
                <w:i/>
                <w:sz w:val="24"/>
                <w:szCs w:val="24"/>
              </w:rPr>
              <w:t xml:space="preserve">göz </w:t>
            </w:r>
            <w:r w:rsidR="00920A58">
              <w:rPr>
                <w:rFonts w:ascii="Times New Roman" w:hAnsi="Times New Roman" w:cs="Times New Roman"/>
                <w:sz w:val="24"/>
                <w:szCs w:val="24"/>
              </w:rPr>
              <w:t>(</w:t>
            </w:r>
            <w:r w:rsidRPr="003F52A3">
              <w:rPr>
                <w:rFonts w:ascii="Times New Roman" w:hAnsi="Times New Roman" w:cs="Times New Roman"/>
                <w:sz w:val="24"/>
                <w:szCs w:val="24"/>
              </w:rPr>
              <w:t>eye</w:t>
            </w:r>
            <w:r w:rsidR="00920A58">
              <w:rPr>
                <w:rFonts w:ascii="Times New Roman" w:hAnsi="Times New Roman" w:cs="Times New Roman"/>
                <w:sz w:val="24"/>
                <w:szCs w:val="24"/>
              </w:rPr>
              <w:t>)</w:t>
            </w:r>
            <w:r w:rsidRPr="003F52A3">
              <w:rPr>
                <w:rFonts w:ascii="Times New Roman" w:hAnsi="Times New Roman" w:cs="Times New Roman"/>
                <w:sz w:val="24"/>
                <w:szCs w:val="24"/>
              </w:rPr>
              <w:t xml:space="preserve"> and </w:t>
            </w:r>
            <w:r w:rsidR="00920A58" w:rsidRPr="00920A58">
              <w:rPr>
                <w:rFonts w:ascii="Times New Roman" w:hAnsi="Times New Roman" w:cs="Times New Roman"/>
                <w:i/>
                <w:sz w:val="24"/>
                <w:szCs w:val="24"/>
              </w:rPr>
              <w:t xml:space="preserve">yıldız </w:t>
            </w:r>
            <w:r w:rsidR="00920A58">
              <w:rPr>
                <w:rFonts w:ascii="Times New Roman" w:hAnsi="Times New Roman" w:cs="Times New Roman"/>
                <w:sz w:val="24"/>
                <w:szCs w:val="24"/>
              </w:rPr>
              <w:t>(</w:t>
            </w:r>
            <w:r w:rsidRPr="003F52A3">
              <w:rPr>
                <w:rFonts w:ascii="Times New Roman" w:hAnsi="Times New Roman" w:cs="Times New Roman"/>
                <w:sz w:val="24"/>
                <w:szCs w:val="24"/>
              </w:rPr>
              <w:t>star</w:t>
            </w:r>
            <w:r w:rsidR="00920A58">
              <w:rPr>
                <w:rFonts w:ascii="Times New Roman" w:hAnsi="Times New Roman" w:cs="Times New Roman"/>
                <w:sz w:val="24"/>
                <w:szCs w:val="24"/>
              </w:rPr>
              <w:t>)</w:t>
            </w:r>
            <w:r w:rsidRPr="003F52A3">
              <w:rPr>
                <w:rFonts w:ascii="Times New Roman" w:hAnsi="Times New Roman" w:cs="Times New Roman"/>
                <w:sz w:val="24"/>
                <w:szCs w:val="24"/>
              </w:rPr>
              <w:t xml:space="preserve"> motifs, and consciously transfer this knowledge into the sales process. Customers, in turn, demand these motifs with awareness of their meanings, and in some cases, specific motifs are deliberately preferred. Thus, the process involves not only material circulation but also the tr</w:t>
            </w:r>
            <w:r>
              <w:rPr>
                <w:rFonts w:ascii="Times New Roman" w:hAnsi="Times New Roman" w:cs="Times New Roman"/>
                <w:sz w:val="24"/>
                <w:szCs w:val="24"/>
              </w:rPr>
              <w:t>ansmission of symbolic meaning.</w:t>
            </w:r>
          </w:p>
          <w:p w:rsidR="00C06855" w:rsidRPr="00C06855" w:rsidRDefault="003F52A3" w:rsidP="003956FB">
            <w:pPr>
              <w:pStyle w:val="AralkYok"/>
              <w:spacing w:before="0" w:after="0" w:line="360" w:lineRule="auto"/>
              <w:rPr>
                <w:rFonts w:ascii="Times New Roman" w:hAnsi="Times New Roman" w:cs="Times New Roman"/>
                <w:sz w:val="24"/>
                <w:szCs w:val="24"/>
              </w:rPr>
            </w:pPr>
            <w:r w:rsidRPr="003F52A3">
              <w:rPr>
                <w:rFonts w:ascii="Times New Roman" w:hAnsi="Times New Roman" w:cs="Times New Roman"/>
                <w:sz w:val="24"/>
                <w:szCs w:val="24"/>
              </w:rPr>
              <w:t xml:space="preserve">During the fieldwork phase, semi-structured interviews, field observations, and visual documentation techniques will be employed. The findings indicate that motifs such as </w:t>
            </w:r>
            <w:r w:rsidRPr="004D2221">
              <w:rPr>
                <w:rFonts w:ascii="Times New Roman" w:hAnsi="Times New Roman" w:cs="Times New Roman"/>
                <w:i/>
                <w:sz w:val="24"/>
                <w:szCs w:val="24"/>
              </w:rPr>
              <w:t>elibelinde</w:t>
            </w:r>
            <w:r w:rsidR="004D2221">
              <w:rPr>
                <w:rFonts w:ascii="Times New Roman" w:hAnsi="Times New Roman" w:cs="Times New Roman"/>
                <w:sz w:val="24"/>
                <w:szCs w:val="24"/>
              </w:rPr>
              <w:t xml:space="preserve"> </w:t>
            </w:r>
            <w:r w:rsidR="004D2221" w:rsidRPr="004D2221">
              <w:rPr>
                <w:rFonts w:ascii="Times New Roman" w:hAnsi="Times New Roman" w:cs="Times New Roman"/>
                <w:sz w:val="24"/>
                <w:szCs w:val="24"/>
              </w:rPr>
              <w:t xml:space="preserve">(a stylized female figure symbolizing fertility), </w:t>
            </w:r>
            <w:r w:rsidRPr="004D2221">
              <w:rPr>
                <w:rFonts w:ascii="Times New Roman" w:hAnsi="Times New Roman" w:cs="Times New Roman"/>
                <w:i/>
                <w:sz w:val="24"/>
                <w:szCs w:val="24"/>
              </w:rPr>
              <w:t>koç</w:t>
            </w:r>
            <w:r w:rsidR="004D2221">
              <w:t xml:space="preserve"> </w:t>
            </w:r>
            <w:r w:rsidR="004D2221" w:rsidRPr="004D2221">
              <w:t>(</w:t>
            </w:r>
            <w:r w:rsidR="004D2221">
              <w:rPr>
                <w:rFonts w:ascii="Times New Roman" w:hAnsi="Times New Roman" w:cs="Times New Roman"/>
                <w:sz w:val="24"/>
                <w:szCs w:val="24"/>
              </w:rPr>
              <w:t>ram)</w:t>
            </w:r>
            <w:r w:rsidRPr="004D2221">
              <w:rPr>
                <w:rFonts w:ascii="Times New Roman" w:hAnsi="Times New Roman" w:cs="Times New Roman"/>
                <w:sz w:val="24"/>
                <w:szCs w:val="24"/>
              </w:rPr>
              <w:t xml:space="preserve"> </w:t>
            </w:r>
            <w:r w:rsidRPr="003F52A3">
              <w:rPr>
                <w:rFonts w:ascii="Times New Roman" w:hAnsi="Times New Roman" w:cs="Times New Roman"/>
                <w:sz w:val="24"/>
                <w:szCs w:val="24"/>
              </w:rPr>
              <w:t xml:space="preserve">and </w:t>
            </w:r>
            <w:r w:rsidRPr="004D2221">
              <w:rPr>
                <w:rFonts w:ascii="Times New Roman" w:hAnsi="Times New Roman" w:cs="Times New Roman"/>
                <w:i/>
                <w:sz w:val="24"/>
                <w:szCs w:val="24"/>
              </w:rPr>
              <w:t>bıtırak</w:t>
            </w:r>
            <w:r w:rsidR="004D2221">
              <w:rPr>
                <w:rFonts w:ascii="Times New Roman" w:hAnsi="Times New Roman" w:cs="Times New Roman"/>
                <w:i/>
                <w:sz w:val="24"/>
                <w:szCs w:val="24"/>
              </w:rPr>
              <w:t xml:space="preserve"> </w:t>
            </w:r>
            <w:r w:rsidR="004D2221" w:rsidRPr="004D2221">
              <w:rPr>
                <w:rFonts w:ascii="Times New Roman" w:hAnsi="Times New Roman" w:cs="Times New Roman"/>
                <w:sz w:val="24"/>
                <w:szCs w:val="24"/>
              </w:rPr>
              <w:t>(burr</w:t>
            </w:r>
            <w:r w:rsidR="004D2221">
              <w:rPr>
                <w:rFonts w:ascii="Times New Roman" w:hAnsi="Times New Roman" w:cs="Times New Roman"/>
                <w:i/>
                <w:sz w:val="24"/>
                <w:szCs w:val="24"/>
              </w:rPr>
              <w:t>)</w:t>
            </w:r>
            <w:r w:rsidRPr="003F52A3">
              <w:rPr>
                <w:rFonts w:ascii="Times New Roman" w:hAnsi="Times New Roman" w:cs="Times New Roman"/>
                <w:sz w:val="24"/>
                <w:szCs w:val="24"/>
              </w:rPr>
              <w:t xml:space="preserve"> stand out in customer demand and demonstrate continuity at the level of meaning within contemporary circulation processes. It is also stated that these motifs are knowingly demanded within </w:t>
            </w:r>
            <w:r w:rsidRPr="003F52A3">
              <w:rPr>
                <w:rFonts w:ascii="Times New Roman" w:hAnsi="Times New Roman" w:cs="Times New Roman"/>
                <w:sz w:val="24"/>
                <w:szCs w:val="24"/>
              </w:rPr>
              <w:lastRenderedPageBreak/>
              <w:t>institutional production processes. These findings show that motifs are not consumed merely as decorative elements; rather, cultural transmission is sustained through circulation within the producer–seller–consumer relationship.</w:t>
            </w:r>
          </w:p>
        </w:tc>
      </w:tr>
      <w:tr w:rsidR="00C06855" w:rsidRPr="008C53F4" w:rsidTr="00161E6D">
        <w:trPr>
          <w:trHeight w:val="522"/>
        </w:trPr>
        <w:tc>
          <w:tcPr>
            <w:tcW w:w="9286" w:type="dxa"/>
            <w:gridSpan w:val="2"/>
            <w:tcBorders>
              <w:top w:val="single" w:sz="2" w:space="0" w:color="663300"/>
              <w:bottom w:val="single" w:sz="2" w:space="0" w:color="663300"/>
            </w:tcBorders>
            <w:vAlign w:val="bottom"/>
          </w:tcPr>
          <w:p w:rsidR="00C06855" w:rsidRPr="00153814" w:rsidRDefault="00C06855" w:rsidP="003956FB">
            <w:pPr>
              <w:spacing w:before="0" w:after="0" w:line="360" w:lineRule="auto"/>
              <w:ind w:firstLine="0"/>
              <w:jc w:val="left"/>
              <w:rPr>
                <w:rFonts w:ascii="Times New Roman" w:hAnsi="Times New Roman" w:cs="Times New Roman"/>
                <w:i/>
                <w:sz w:val="24"/>
                <w:szCs w:val="24"/>
              </w:rPr>
            </w:pPr>
            <w:r w:rsidRPr="00153814">
              <w:rPr>
                <w:rFonts w:ascii="Times New Roman" w:hAnsi="Times New Roman" w:cs="Times New Roman"/>
                <w:b/>
                <w:i/>
                <w:sz w:val="24"/>
                <w:szCs w:val="24"/>
              </w:rPr>
              <w:lastRenderedPageBreak/>
              <w:t xml:space="preserve">Keywords: </w:t>
            </w:r>
            <w:r w:rsidR="003F52A3" w:rsidRPr="003F52A3">
              <w:rPr>
                <w:rFonts w:ascii="Times New Roman" w:hAnsi="Times New Roman" w:cs="Times New Roman"/>
                <w:i/>
                <w:sz w:val="24"/>
                <w:szCs w:val="24"/>
              </w:rPr>
              <w:t>weaving motifs, cultural transmission, cultural heritage, continuity at the level of meaning, Tarsus</w:t>
            </w:r>
          </w:p>
        </w:tc>
      </w:tr>
    </w:tbl>
    <w:p w:rsidR="00365790" w:rsidRDefault="00365790" w:rsidP="003956FB">
      <w:pPr>
        <w:spacing w:before="0" w:after="0" w:line="360" w:lineRule="auto"/>
      </w:pPr>
    </w:p>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89" w:rsidRDefault="00136E89" w:rsidP="00C06855">
      <w:pPr>
        <w:spacing w:before="0" w:after="0"/>
      </w:pPr>
      <w:r>
        <w:separator/>
      </w:r>
    </w:p>
  </w:endnote>
  <w:endnote w:type="continuationSeparator" w:id="0">
    <w:p w:rsidR="00136E89" w:rsidRDefault="00136E89"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89" w:rsidRDefault="00136E89" w:rsidP="00C06855">
      <w:pPr>
        <w:spacing w:before="0" w:after="0"/>
      </w:pPr>
      <w:r>
        <w:separator/>
      </w:r>
    </w:p>
  </w:footnote>
  <w:footnote w:type="continuationSeparator" w:id="0">
    <w:p w:rsidR="00136E89" w:rsidRDefault="00136E89" w:rsidP="00C06855">
      <w:pPr>
        <w:spacing w:before="0" w:after="0"/>
      </w:pPr>
      <w:r>
        <w:continuationSeparator/>
      </w:r>
    </w:p>
  </w:footnote>
  <w:footnote w:id="1">
    <w:p w:rsidR="00C06855" w:rsidRDefault="00C06855" w:rsidP="00C06855">
      <w:pPr>
        <w:pStyle w:val="DipnotMetni"/>
      </w:pPr>
      <w:r>
        <w:rPr>
          <w:rStyle w:val="DipnotBavurusu"/>
        </w:rPr>
        <w:footnoteRef/>
      </w:r>
      <w:r>
        <w:t xml:space="preserve"> </w:t>
      </w:r>
      <w:r w:rsidR="003F52A3" w:rsidRPr="003F52A3">
        <w:rPr>
          <w:i/>
        </w:rPr>
        <w:t>Emine Bağcı, Mersin University, Institute of Social Sciences, Department of Turkish Language and Literature, Mersin/Turkey, bagciemine@gmail.com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55"/>
    <w:rsid w:val="0009790C"/>
    <w:rsid w:val="001203FE"/>
    <w:rsid w:val="00136E89"/>
    <w:rsid w:val="00153814"/>
    <w:rsid w:val="002904E6"/>
    <w:rsid w:val="003209F1"/>
    <w:rsid w:val="00365790"/>
    <w:rsid w:val="003956FB"/>
    <w:rsid w:val="003F52A3"/>
    <w:rsid w:val="004B5A42"/>
    <w:rsid w:val="004D2221"/>
    <w:rsid w:val="00920A58"/>
    <w:rsid w:val="00951FB4"/>
    <w:rsid w:val="00AC109D"/>
    <w:rsid w:val="00AC459D"/>
    <w:rsid w:val="00C06855"/>
    <w:rsid w:val="00DA7410"/>
    <w:rsid w:val="00F303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bilgi Char"/>
    <w:basedOn w:val="VarsaylanParagrafYazTipi"/>
    <w:link w:val="Altbilgi"/>
    <w:uiPriority w:val="99"/>
    <w:rsid w:val="00C06855"/>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C472A0F-45EE-413B-B26A-3A1C40F9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Microsoft hesabı</cp:lastModifiedBy>
  <cp:revision>6</cp:revision>
  <dcterms:created xsi:type="dcterms:W3CDTF">2026-03-01T19:15:00Z</dcterms:created>
  <dcterms:modified xsi:type="dcterms:W3CDTF">2026-03-01T20:19:00Z</dcterms:modified>
</cp:coreProperties>
</file>